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sz w:val="26"/>
          <w:szCs w:val="26"/>
        </w:rPr>
      </w:pPr>
      <w:r w:rsidDel="00000000" w:rsidR="00000000" w:rsidRPr="00000000">
        <w:rPr>
          <w:b w:val="1"/>
          <w:i w:val="1"/>
          <w:sz w:val="26"/>
          <w:szCs w:val="26"/>
          <w:rtl w:val="0"/>
        </w:rPr>
        <w:t xml:space="preserve">TransCompR Protocol</w:t>
      </w:r>
      <w:r w:rsidDel="00000000" w:rsidR="00000000" w:rsidRPr="00000000">
        <w:rPr>
          <w:rtl w:val="0"/>
        </w:rPr>
      </w:r>
    </w:p>
    <w:p w:rsidR="00000000" w:rsidDel="00000000" w:rsidP="00000000" w:rsidRDefault="00000000" w:rsidRPr="00000000" w14:paraId="00000002">
      <w:pPr>
        <w:jc w:val="center"/>
        <w:rPr>
          <w:sz w:val="26"/>
          <w:szCs w:val="26"/>
        </w:rPr>
      </w:pPr>
      <w:r w:rsidDel="00000000" w:rsidR="00000000" w:rsidRPr="00000000">
        <w:rPr>
          <w:rtl w:val="0"/>
        </w:rPr>
      </w:r>
    </w:p>
    <w:p w:rsidR="00000000" w:rsidDel="00000000" w:rsidP="00000000" w:rsidRDefault="00000000" w:rsidRPr="00000000" w14:paraId="00000003">
      <w:pPr>
        <w:rPr>
          <w:sz w:val="24"/>
          <w:szCs w:val="24"/>
        </w:rPr>
      </w:pPr>
      <w:r w:rsidDel="00000000" w:rsidR="00000000" w:rsidRPr="00000000">
        <w:rPr>
          <w:sz w:val="24"/>
          <w:szCs w:val="24"/>
          <w:rtl w:val="0"/>
        </w:rPr>
        <w:t xml:space="preserve">Publicly available single-cell transcriptomic data generated via SELECT-seq from 7 donors (3 RSTR and 4 LTBI) (8) was retrieved as a Seurat object via Zenodo. Mouse lung scRNAseq data generated in this work was subset to only CD4 T cell clusters. Mouse genes were converted to homologs using the </w:t>
      </w:r>
      <w:r w:rsidDel="00000000" w:rsidR="00000000" w:rsidRPr="00000000">
        <w:rPr>
          <w:sz w:val="24"/>
          <w:szCs w:val="24"/>
          <w:highlight w:val="white"/>
          <w:rtl w:val="0"/>
        </w:rPr>
        <w:t xml:space="preserve">Mouse Genome Database (MGD) at the Mouse Genome Informatics website, The Jackson Laboratory. Differentially expressed genes (DEGs) (p &lt; 0.05) were found across the human SELECT-seq data between RSTR and LTBI individuals via a Wilcoxon rank-sum test, with p-values corrected via Benjamini-Hochburg, and likewise across the mouse scRNAseq data. To build a TransCompR model, a principal components analysis (PCA) space was built on the human DEGs after filtering for homology. The PCA utilized the lesser of 20 human principal components (hPCs) or the number of principal components that explained at least 50% of the total SELECT-seq variance. Mouse scRNAseq data was projected into the human PCA space by multiplying the human PC loadings by the mouse data for each cell in the dataset, creating mPCs. The mouse T cell data were then reduced to just the CD4_act1 subset to best align with the human data. One mouse, CC024_29, was removed from analysis due to low (&lt;50 cells) counts of CD4 T cells detected. Cohen’s D was used to assess the relationship of each mPC to the mouse phenotype (NCan or Canonical). A Cohen’s D of 0.2 (small effect size) was used as a cutoff, and mPCs that made the cutoff were then used to build a linear discriminant analysis model to predict phenotype per cell. The model was trained by holding each mouse out through 100 rounds of 5-fold cross validation using data from all other mice, down-sampled to allow for balanced class sizes. The model built was then used to predict the phenotype of every cell from the left-out mouse, and the mouse is predicted to have the phenotype that most of its cells share. This same framework was used to generate null models either built on shuffled labels across the entire dataset or on random size-matched mPCs. </w:t>
      </w:r>
      <w:r w:rsidDel="00000000" w:rsidR="00000000" w:rsidRPr="00000000">
        <w:rPr>
          <w:sz w:val="24"/>
          <w:szCs w:val="24"/>
          <w:rtl w:val="0"/>
        </w:rPr>
        <w:t xml:space="preserve">The top 20% and bottom 20% of the loadings of each significant mPC were taken for enrichment analysis via STRING, using database version 12.0. Terms were considered enriched if the FDR-corrected p-value was less than 0.05. Resultant enriched terms were filtered to remove non-T cell subset-related terms and focus only on GO Process terms, and ratios of the number of genes detected in the top or bottom 20% of the loadings to the number of overall genes in a given gene set were computed.</w:t>
      </w:r>
    </w:p>
    <w:p w:rsidR="00000000" w:rsidDel="00000000" w:rsidP="00000000" w:rsidRDefault="00000000" w:rsidRPr="00000000" w14:paraId="00000004">
      <w:pPr>
        <w:jc w:val="left"/>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