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9BBFF7" w14:textId="77777777" w:rsidR="00687826" w:rsidRPr="00687826" w:rsidRDefault="00687826" w:rsidP="00687826">
      <w:pPr>
        <w:shd w:val="clear" w:color="auto" w:fill="FFFFFF"/>
        <w:spacing w:before="225" w:after="225" w:line="377" w:lineRule="atLeast"/>
        <w:textAlignment w:val="baseline"/>
        <w:outlineLvl w:val="2"/>
        <w:rPr>
          <w:rFonts w:ascii="Helvetica" w:eastAsia="Times New Roman" w:hAnsi="Helvetica" w:cs="Helvetica"/>
          <w:b/>
          <w:bCs/>
          <w:color w:val="121212"/>
          <w:sz w:val="24"/>
          <w:szCs w:val="24"/>
        </w:rPr>
      </w:pPr>
      <w:r w:rsidRPr="00687826">
        <w:rPr>
          <w:rFonts w:ascii="Helvetica" w:eastAsia="Times New Roman" w:hAnsi="Helvetica" w:cs="Helvetica"/>
          <w:b/>
          <w:bCs/>
          <w:color w:val="121212"/>
          <w:sz w:val="24"/>
          <w:szCs w:val="24"/>
        </w:rPr>
        <w:t>2.3. Tissue Preparation for Proteomics and Running the LC-MS/MS</w:t>
      </w:r>
    </w:p>
    <w:p w14:paraId="38205E2B" w14:textId="084C3D74" w:rsidR="00687826" w:rsidRDefault="00687826" w:rsidP="00687826">
      <w:pPr>
        <w:shd w:val="clear" w:color="auto" w:fill="FFFFFF"/>
        <w:spacing w:after="0" w:line="240" w:lineRule="auto"/>
        <w:textAlignment w:val="baseline"/>
        <w:rPr>
          <w:rFonts w:ascii="Lucida Sans" w:eastAsia="Times New Roman" w:hAnsi="Lucida Sans" w:cs="Times New Roman"/>
          <w:color w:val="191919"/>
          <w:sz w:val="24"/>
          <w:szCs w:val="24"/>
        </w:rPr>
      </w:pPr>
      <w:r w:rsidRPr="00687826">
        <w:rPr>
          <w:rFonts w:ascii="Lucida Sans" w:eastAsia="Times New Roman" w:hAnsi="Lucida Sans" w:cs="Times New Roman"/>
          <w:color w:val="191919"/>
          <w:sz w:val="24"/>
          <w:szCs w:val="24"/>
        </w:rPr>
        <w:t xml:space="preserve">Before digestion of the biopsy tissue for single cell analysis, a roughly 5 mm slice was isolated for proteomic analysis. Following collection, 50 </w:t>
      </w:r>
      <w:proofErr w:type="spellStart"/>
      <w:r w:rsidRPr="00687826">
        <w:rPr>
          <w:rFonts w:ascii="Calibri" w:eastAsia="Times New Roman" w:hAnsi="Calibri" w:cs="Calibri"/>
          <w:color w:val="191919"/>
          <w:sz w:val="24"/>
          <w:szCs w:val="24"/>
        </w:rPr>
        <w:t>μ</w:t>
      </w:r>
      <w:r w:rsidRPr="00687826">
        <w:rPr>
          <w:rFonts w:ascii="Lucida Sans" w:eastAsia="Times New Roman" w:hAnsi="Lucida Sans" w:cs="Times New Roman"/>
          <w:color w:val="191919"/>
          <w:sz w:val="24"/>
          <w:szCs w:val="24"/>
        </w:rPr>
        <w:t>l</w:t>
      </w:r>
      <w:proofErr w:type="spellEnd"/>
      <w:r w:rsidRPr="00687826">
        <w:rPr>
          <w:rFonts w:ascii="Lucida Sans" w:eastAsia="Times New Roman" w:hAnsi="Lucida Sans" w:cs="Times New Roman"/>
          <w:color w:val="191919"/>
          <w:sz w:val="24"/>
          <w:szCs w:val="24"/>
        </w:rPr>
        <w:t xml:space="preserve"> of </w:t>
      </w:r>
      <w:proofErr w:type="spellStart"/>
      <w:r w:rsidRPr="00687826">
        <w:rPr>
          <w:rFonts w:ascii="Lucida Sans" w:eastAsia="Times New Roman" w:hAnsi="Lucida Sans" w:cs="Times New Roman"/>
          <w:color w:val="191919"/>
          <w:sz w:val="24"/>
          <w:szCs w:val="24"/>
        </w:rPr>
        <w:t>RapiGest</w:t>
      </w:r>
      <w:proofErr w:type="spellEnd"/>
      <w:r w:rsidRPr="00687826">
        <w:rPr>
          <w:rFonts w:ascii="Lucida Sans" w:eastAsia="Times New Roman" w:hAnsi="Lucida Sans" w:cs="Times New Roman"/>
          <w:color w:val="191919"/>
          <w:sz w:val="24"/>
          <w:szCs w:val="24"/>
        </w:rPr>
        <w:t xml:space="preserve"> (Product number 186001861; Waters Corporation, Milford, MA) reconstituted in 50 mM NH</w:t>
      </w:r>
      <w:r w:rsidRPr="00687826">
        <w:rPr>
          <w:rFonts w:ascii="inherit" w:eastAsia="Times New Roman" w:hAnsi="inherit" w:cs="Times New Roman"/>
          <w:color w:val="191919"/>
          <w:sz w:val="18"/>
          <w:szCs w:val="18"/>
          <w:bdr w:val="none" w:sz="0" w:space="0" w:color="auto" w:frame="1"/>
          <w:vertAlign w:val="subscript"/>
        </w:rPr>
        <w:t>4</w:t>
      </w:r>
      <w:r w:rsidRPr="00687826">
        <w:rPr>
          <w:rFonts w:ascii="Lucida Sans" w:eastAsia="Times New Roman" w:hAnsi="Lucida Sans" w:cs="Times New Roman"/>
          <w:color w:val="191919"/>
          <w:sz w:val="24"/>
          <w:szCs w:val="24"/>
        </w:rPr>
        <w:t>HCO</w:t>
      </w:r>
      <w:r w:rsidRPr="00687826">
        <w:rPr>
          <w:rFonts w:ascii="inherit" w:eastAsia="Times New Roman" w:hAnsi="inherit" w:cs="Times New Roman"/>
          <w:color w:val="191919"/>
          <w:sz w:val="18"/>
          <w:szCs w:val="18"/>
          <w:bdr w:val="none" w:sz="0" w:space="0" w:color="auto" w:frame="1"/>
          <w:vertAlign w:val="subscript"/>
        </w:rPr>
        <w:t>3</w:t>
      </w:r>
      <w:r w:rsidRPr="00687826">
        <w:rPr>
          <w:rFonts w:ascii="Lucida Sans" w:eastAsia="Times New Roman" w:hAnsi="Lucida Sans" w:cs="Times New Roman"/>
          <w:color w:val="191919"/>
          <w:sz w:val="24"/>
          <w:szCs w:val="24"/>
        </w:rPr>
        <w:t xml:space="preserve"> at a concentration of 2mg/ml was used to digest the biopsy sample for 24 hours at 37°C. Next, urea (Cat # 29700, </w:t>
      </w:r>
      <w:proofErr w:type="spellStart"/>
      <w:r w:rsidRPr="00687826">
        <w:rPr>
          <w:rFonts w:ascii="Lucida Sans" w:eastAsia="Times New Roman" w:hAnsi="Lucida Sans" w:cs="Times New Roman"/>
          <w:color w:val="191919"/>
          <w:sz w:val="24"/>
          <w:szCs w:val="24"/>
        </w:rPr>
        <w:t>Thermofisher</w:t>
      </w:r>
      <w:proofErr w:type="spellEnd"/>
      <w:r w:rsidRPr="00687826">
        <w:rPr>
          <w:rFonts w:ascii="Lucida Sans" w:eastAsia="Times New Roman" w:hAnsi="Lucida Sans" w:cs="Times New Roman"/>
          <w:color w:val="191919"/>
          <w:sz w:val="24"/>
          <w:szCs w:val="24"/>
        </w:rPr>
        <w:t xml:space="preserve">, Waltham, MA) and dithiothreitol (Cat # R086, </w:t>
      </w:r>
      <w:proofErr w:type="spellStart"/>
      <w:r w:rsidRPr="00687826">
        <w:rPr>
          <w:rFonts w:ascii="Lucida Sans" w:eastAsia="Times New Roman" w:hAnsi="Lucida Sans" w:cs="Times New Roman"/>
          <w:color w:val="191919"/>
          <w:sz w:val="24"/>
          <w:szCs w:val="24"/>
        </w:rPr>
        <w:t>Thermofisher</w:t>
      </w:r>
      <w:proofErr w:type="spellEnd"/>
      <w:r w:rsidRPr="00687826">
        <w:rPr>
          <w:rFonts w:ascii="Lucida Sans" w:eastAsia="Times New Roman" w:hAnsi="Lucida Sans" w:cs="Times New Roman"/>
          <w:color w:val="191919"/>
          <w:sz w:val="24"/>
          <w:szCs w:val="24"/>
        </w:rPr>
        <w:t xml:space="preserve">, Waltham, MA) were added to the sample to bring the mixture of a final concentration of 4 mM and 5 mM, respectively. This was left at 37°C for 24 hours in an incubator with a stir bar spinning at 1400 rpm. Finally, iodoacetamide (CAS 144-48-9, </w:t>
      </w:r>
      <w:proofErr w:type="spellStart"/>
      <w:r w:rsidRPr="00687826">
        <w:rPr>
          <w:rFonts w:ascii="Lucida Sans" w:eastAsia="Times New Roman" w:hAnsi="Lucida Sans" w:cs="Times New Roman"/>
          <w:color w:val="191919"/>
          <w:sz w:val="24"/>
          <w:szCs w:val="24"/>
        </w:rPr>
        <w:t>MilliporeSigma</w:t>
      </w:r>
      <w:proofErr w:type="spellEnd"/>
      <w:r w:rsidRPr="00687826">
        <w:rPr>
          <w:rFonts w:ascii="Lucida Sans" w:eastAsia="Times New Roman" w:hAnsi="Lucida Sans" w:cs="Times New Roman"/>
          <w:color w:val="191919"/>
          <w:sz w:val="24"/>
          <w:szCs w:val="24"/>
        </w:rPr>
        <w:t>, Burlington, MA) was added to the sample, for a final concentration of 15 mM and kept in the dark, at 37°C, for 30 minutes. Samples were frozen at -80°C until all patient samples had been collected and processed.</w:t>
      </w:r>
    </w:p>
    <w:p w14:paraId="6FDE5072" w14:textId="77777777" w:rsidR="00822D95" w:rsidRPr="00687826" w:rsidRDefault="00822D95" w:rsidP="00687826">
      <w:pPr>
        <w:shd w:val="clear" w:color="auto" w:fill="FFFFFF"/>
        <w:spacing w:after="0" w:line="240" w:lineRule="auto"/>
        <w:textAlignment w:val="baseline"/>
        <w:rPr>
          <w:rFonts w:ascii="Lucida Sans" w:eastAsia="Times New Roman" w:hAnsi="Lucida Sans" w:cs="Times New Roman"/>
          <w:color w:val="191919"/>
          <w:sz w:val="24"/>
          <w:szCs w:val="24"/>
        </w:rPr>
      </w:pPr>
    </w:p>
    <w:p w14:paraId="4CC96B2A" w14:textId="561C23FD" w:rsidR="00687826" w:rsidRDefault="00687826" w:rsidP="00687826">
      <w:pPr>
        <w:shd w:val="clear" w:color="auto" w:fill="FFFFFF"/>
        <w:spacing w:after="0" w:line="240" w:lineRule="auto"/>
        <w:textAlignment w:val="baseline"/>
        <w:rPr>
          <w:rFonts w:ascii="Lucida Sans" w:eastAsia="Times New Roman" w:hAnsi="Lucida Sans" w:cs="Times New Roman"/>
          <w:color w:val="191919"/>
          <w:sz w:val="24"/>
          <w:szCs w:val="24"/>
        </w:rPr>
      </w:pPr>
      <w:r w:rsidRPr="00687826">
        <w:rPr>
          <w:rFonts w:ascii="Lucida Sans" w:eastAsia="Times New Roman" w:hAnsi="Lucida Sans" w:cs="Times New Roman"/>
          <w:color w:val="191919"/>
          <w:sz w:val="24"/>
          <w:szCs w:val="24"/>
        </w:rPr>
        <w:t>Samples were lyophilized overnight and then reconstituted in NH</w:t>
      </w:r>
      <w:r w:rsidRPr="00687826">
        <w:rPr>
          <w:rFonts w:ascii="inherit" w:eastAsia="Times New Roman" w:hAnsi="inherit" w:cs="Times New Roman"/>
          <w:color w:val="191919"/>
          <w:sz w:val="18"/>
          <w:szCs w:val="18"/>
          <w:bdr w:val="none" w:sz="0" w:space="0" w:color="auto" w:frame="1"/>
          <w:vertAlign w:val="subscript"/>
        </w:rPr>
        <w:t>4</w:t>
      </w:r>
      <w:r w:rsidRPr="00687826">
        <w:rPr>
          <w:rFonts w:ascii="Lucida Sans" w:eastAsia="Times New Roman" w:hAnsi="Lucida Sans" w:cs="Times New Roman"/>
          <w:color w:val="191919"/>
          <w:sz w:val="24"/>
          <w:szCs w:val="24"/>
        </w:rPr>
        <w:t>HCO</w:t>
      </w:r>
      <w:r w:rsidRPr="00687826">
        <w:rPr>
          <w:rFonts w:ascii="inherit" w:eastAsia="Times New Roman" w:hAnsi="inherit" w:cs="Times New Roman"/>
          <w:color w:val="191919"/>
          <w:sz w:val="18"/>
          <w:szCs w:val="18"/>
          <w:bdr w:val="none" w:sz="0" w:space="0" w:color="auto" w:frame="1"/>
          <w:vertAlign w:val="subscript"/>
        </w:rPr>
        <w:t>3</w:t>
      </w:r>
      <w:r w:rsidRPr="00687826">
        <w:rPr>
          <w:rFonts w:ascii="Lucida Sans" w:eastAsia="Times New Roman" w:hAnsi="Lucida Sans" w:cs="Times New Roman"/>
          <w:color w:val="191919"/>
          <w:sz w:val="24"/>
          <w:szCs w:val="24"/>
        </w:rPr>
        <w:t xml:space="preserve">. A standard mixture was created by mixing equal parts from all of the patient samples into one tube. For each proteomics run, one aliquot of this standard mixture was used to normalize the sample readings between runs. Samples were digested with Trypsin Gold, mass spectrometry grade, from Promega (Madison, WI) using a ratio of 1 ug trypsin to 50 ug sample protein as quantified using a Pierce BCA Protein Assay Kit (Cat # 23225, </w:t>
      </w:r>
      <w:proofErr w:type="spellStart"/>
      <w:r w:rsidRPr="00687826">
        <w:rPr>
          <w:rFonts w:ascii="Lucida Sans" w:eastAsia="Times New Roman" w:hAnsi="Lucida Sans" w:cs="Times New Roman"/>
          <w:color w:val="191919"/>
          <w:sz w:val="24"/>
          <w:szCs w:val="24"/>
        </w:rPr>
        <w:t>Thermofisher</w:t>
      </w:r>
      <w:proofErr w:type="spellEnd"/>
      <w:r w:rsidRPr="00687826">
        <w:rPr>
          <w:rFonts w:ascii="Lucida Sans" w:eastAsia="Times New Roman" w:hAnsi="Lucida Sans" w:cs="Times New Roman"/>
          <w:color w:val="191919"/>
          <w:sz w:val="24"/>
          <w:szCs w:val="24"/>
        </w:rPr>
        <w:t xml:space="preserve">, Waltham, MA). Samples were digested overnight at room temperature using a rotor for mixing and then placed in a speed vacuum to reduce sample volume. Dried down peptide samples were labeled with TMT10plex (Pierce, Rockford, IL, USA). After labeling, the samples were mixed and purified with peptide desalting spin columns (Pierce, Rockford, IL, USA). 1/5 of the sample was used for one LC/MS/MS analysis. The dried peptide mix was reconstituted in a solution of 2 % formic acid (FA) for MS analysis. Peptides were loaded with the autosampler directly onto a 50cm EASY-Spray C18 column (ES803a, Thermo Scientific). Peptides were eluted from the column using a </w:t>
      </w:r>
      <w:proofErr w:type="spellStart"/>
      <w:r w:rsidRPr="00687826">
        <w:rPr>
          <w:rFonts w:ascii="Lucida Sans" w:eastAsia="Times New Roman" w:hAnsi="Lucida Sans" w:cs="Times New Roman"/>
          <w:color w:val="191919"/>
          <w:sz w:val="24"/>
          <w:szCs w:val="24"/>
        </w:rPr>
        <w:t>Dionex</w:t>
      </w:r>
      <w:proofErr w:type="spellEnd"/>
      <w:r w:rsidRPr="00687826">
        <w:rPr>
          <w:rFonts w:ascii="Lucida Sans" w:eastAsia="Times New Roman" w:hAnsi="Lucida Sans" w:cs="Times New Roman"/>
          <w:color w:val="191919"/>
          <w:sz w:val="24"/>
          <w:szCs w:val="24"/>
        </w:rPr>
        <w:t xml:space="preserve"> Ultimate 3000 Nano LC system with a 5 min gradient from 1% buffer B to 10 % buffer B (100 % acetonitrile, 0.1 % formic acid), followed by a 44.8 min gradient to 25%, and a 9.2 min gradient to 36% B, followed by a 0.5 min gradient to 80% B, and held constant for 4.5 min. Finally, the gradient was changed from 80 % buffer B to 99 % buffer A (100% water, 0.1% formic acid) over 0.1 min, and then held constant at 99 % buffer A for 19.9 more minutes.</w:t>
      </w:r>
    </w:p>
    <w:p w14:paraId="109D943A" w14:textId="77777777" w:rsidR="00822D95" w:rsidRPr="00687826" w:rsidRDefault="00822D95" w:rsidP="00687826">
      <w:pPr>
        <w:shd w:val="clear" w:color="auto" w:fill="FFFFFF"/>
        <w:spacing w:after="0" w:line="240" w:lineRule="auto"/>
        <w:textAlignment w:val="baseline"/>
        <w:rPr>
          <w:rFonts w:ascii="Lucida Sans" w:eastAsia="Times New Roman" w:hAnsi="Lucida Sans" w:cs="Times New Roman"/>
          <w:color w:val="191919"/>
          <w:sz w:val="24"/>
          <w:szCs w:val="24"/>
        </w:rPr>
      </w:pPr>
    </w:p>
    <w:p w14:paraId="66211867" w14:textId="77777777" w:rsidR="00687826" w:rsidRPr="00687826" w:rsidRDefault="00687826" w:rsidP="00687826">
      <w:pPr>
        <w:shd w:val="clear" w:color="auto" w:fill="FFFFFF"/>
        <w:spacing w:after="225" w:line="240" w:lineRule="auto"/>
        <w:textAlignment w:val="baseline"/>
        <w:rPr>
          <w:rFonts w:ascii="Lucida Sans" w:eastAsia="Times New Roman" w:hAnsi="Lucida Sans" w:cs="Times New Roman"/>
          <w:color w:val="191919"/>
          <w:sz w:val="24"/>
          <w:szCs w:val="24"/>
        </w:rPr>
      </w:pPr>
      <w:r w:rsidRPr="00687826">
        <w:rPr>
          <w:rFonts w:ascii="Lucida Sans" w:eastAsia="Times New Roman" w:hAnsi="Lucida Sans" w:cs="Times New Roman"/>
          <w:color w:val="191919"/>
          <w:sz w:val="24"/>
          <w:szCs w:val="24"/>
        </w:rPr>
        <w:t xml:space="preserve">The application of a 2.2 kV distal voltage </w:t>
      </w:r>
      <w:proofErr w:type="spellStart"/>
      <w:r w:rsidRPr="00687826">
        <w:rPr>
          <w:rFonts w:ascii="Lucida Sans" w:eastAsia="Times New Roman" w:hAnsi="Lucida Sans" w:cs="Times New Roman"/>
          <w:color w:val="191919"/>
          <w:sz w:val="24"/>
          <w:szCs w:val="24"/>
        </w:rPr>
        <w:t>electrosprayed</w:t>
      </w:r>
      <w:proofErr w:type="spellEnd"/>
      <w:r w:rsidRPr="00687826">
        <w:rPr>
          <w:rFonts w:ascii="Lucida Sans" w:eastAsia="Times New Roman" w:hAnsi="Lucida Sans" w:cs="Times New Roman"/>
          <w:color w:val="191919"/>
          <w:sz w:val="24"/>
          <w:szCs w:val="24"/>
        </w:rPr>
        <w:t xml:space="preserve"> the eluting peptides directly into the Thermo Exploris480 mass spectrometer equipped with a FAIMS and an EASY-Spray source (Thermo Scientific). Mass spectrometer-scanning functions and HPLC gradients were controlled by the </w:t>
      </w:r>
      <w:proofErr w:type="spellStart"/>
      <w:r w:rsidRPr="00687826">
        <w:rPr>
          <w:rFonts w:ascii="Lucida Sans" w:eastAsia="Times New Roman" w:hAnsi="Lucida Sans" w:cs="Times New Roman"/>
          <w:color w:val="191919"/>
          <w:sz w:val="24"/>
          <w:szCs w:val="24"/>
        </w:rPr>
        <w:t>Xcalibur</w:t>
      </w:r>
      <w:proofErr w:type="spellEnd"/>
      <w:r w:rsidRPr="00687826">
        <w:rPr>
          <w:rFonts w:ascii="Lucida Sans" w:eastAsia="Times New Roman" w:hAnsi="Lucida Sans" w:cs="Times New Roman"/>
          <w:color w:val="191919"/>
          <w:sz w:val="24"/>
          <w:szCs w:val="24"/>
        </w:rPr>
        <w:t xml:space="preserve"> data system (Thermo Scientific). MS1 scans parameters were 120,000 resolution, scan range m/z 375-1600, AGC at 300%, IT at 50ms. MS2 scan parameters were either at </w:t>
      </w:r>
      <w:r w:rsidRPr="00687826">
        <w:rPr>
          <w:rFonts w:ascii="Lucida Sans" w:eastAsia="Times New Roman" w:hAnsi="Lucida Sans" w:cs="Times New Roman"/>
          <w:color w:val="191919"/>
          <w:sz w:val="24"/>
          <w:szCs w:val="24"/>
        </w:rPr>
        <w:lastRenderedPageBreak/>
        <w:t>30,000 or 45,000 resolution, isolation width at 0.7, HCD collision energy at 36%, AGC target at 300% and IT set to auto. Cycle time for MS2 was 2sec for each MS1 scan.</w:t>
      </w:r>
    </w:p>
    <w:p w14:paraId="1EB201B5" w14:textId="77777777" w:rsidR="00687826" w:rsidRPr="00687826" w:rsidRDefault="00687826" w:rsidP="00687826">
      <w:pPr>
        <w:shd w:val="clear" w:color="auto" w:fill="FFFFFF"/>
        <w:spacing w:after="225" w:line="240" w:lineRule="auto"/>
        <w:textAlignment w:val="baseline"/>
        <w:rPr>
          <w:rFonts w:ascii="Lucida Sans" w:eastAsia="Times New Roman" w:hAnsi="Lucida Sans" w:cs="Times New Roman"/>
          <w:color w:val="191919"/>
          <w:sz w:val="24"/>
          <w:szCs w:val="24"/>
        </w:rPr>
      </w:pPr>
      <w:r w:rsidRPr="00687826">
        <w:rPr>
          <w:rFonts w:ascii="Lucida Sans" w:eastAsia="Times New Roman" w:hAnsi="Lucida Sans" w:cs="Times New Roman"/>
          <w:color w:val="191919"/>
          <w:sz w:val="24"/>
          <w:szCs w:val="24"/>
        </w:rPr>
        <w:t xml:space="preserve">All MS/MS samples were analyzed using </w:t>
      </w:r>
      <w:proofErr w:type="spellStart"/>
      <w:r w:rsidRPr="00687826">
        <w:rPr>
          <w:rFonts w:ascii="Lucida Sans" w:eastAsia="Times New Roman" w:hAnsi="Lucida Sans" w:cs="Times New Roman"/>
          <w:color w:val="191919"/>
          <w:sz w:val="24"/>
          <w:szCs w:val="24"/>
        </w:rPr>
        <w:t>Sequest</w:t>
      </w:r>
      <w:proofErr w:type="spellEnd"/>
      <w:r w:rsidRPr="00687826">
        <w:rPr>
          <w:rFonts w:ascii="Lucida Sans" w:eastAsia="Times New Roman" w:hAnsi="Lucida Sans" w:cs="Times New Roman"/>
          <w:color w:val="191919"/>
          <w:sz w:val="24"/>
          <w:szCs w:val="24"/>
        </w:rPr>
        <w:t xml:space="preserve"> (Thermo Fisher Scientific, San Jose, CA, USA; version </w:t>
      </w:r>
      <w:proofErr w:type="spellStart"/>
      <w:r w:rsidRPr="00687826">
        <w:rPr>
          <w:rFonts w:ascii="Lucida Sans" w:eastAsia="Times New Roman" w:hAnsi="Lucida Sans" w:cs="Times New Roman"/>
          <w:color w:val="191919"/>
          <w:sz w:val="24"/>
          <w:szCs w:val="24"/>
        </w:rPr>
        <w:t>IseNode</w:t>
      </w:r>
      <w:proofErr w:type="spellEnd"/>
      <w:r w:rsidRPr="00687826">
        <w:rPr>
          <w:rFonts w:ascii="Lucida Sans" w:eastAsia="Times New Roman" w:hAnsi="Lucida Sans" w:cs="Times New Roman"/>
          <w:color w:val="191919"/>
          <w:sz w:val="24"/>
          <w:szCs w:val="24"/>
        </w:rPr>
        <w:t xml:space="preserve"> in Proteome Discoverer 2.3.0.523). </w:t>
      </w:r>
      <w:proofErr w:type="spellStart"/>
      <w:r w:rsidRPr="00687826">
        <w:rPr>
          <w:rFonts w:ascii="Lucida Sans" w:eastAsia="Times New Roman" w:hAnsi="Lucida Sans" w:cs="Times New Roman"/>
          <w:color w:val="191919"/>
          <w:sz w:val="24"/>
          <w:szCs w:val="24"/>
        </w:rPr>
        <w:t>Sequest</w:t>
      </w:r>
      <w:proofErr w:type="spellEnd"/>
      <w:r w:rsidRPr="00687826">
        <w:rPr>
          <w:rFonts w:ascii="Lucida Sans" w:eastAsia="Times New Roman" w:hAnsi="Lucida Sans" w:cs="Times New Roman"/>
          <w:color w:val="191919"/>
          <w:sz w:val="24"/>
          <w:szCs w:val="24"/>
        </w:rPr>
        <w:t xml:space="preserve"> was set up to search uniprot_human_reviewed_032120.fasta (version March 21, 2020) assuming the digestion enzyme trypsin. </w:t>
      </w:r>
      <w:proofErr w:type="spellStart"/>
      <w:r w:rsidRPr="00687826">
        <w:rPr>
          <w:rFonts w:ascii="Lucida Sans" w:eastAsia="Times New Roman" w:hAnsi="Lucida Sans" w:cs="Times New Roman"/>
          <w:color w:val="191919"/>
          <w:sz w:val="24"/>
          <w:szCs w:val="24"/>
        </w:rPr>
        <w:t>Sequest</w:t>
      </w:r>
      <w:proofErr w:type="spellEnd"/>
      <w:r w:rsidRPr="00687826">
        <w:rPr>
          <w:rFonts w:ascii="Lucida Sans" w:eastAsia="Times New Roman" w:hAnsi="Lucida Sans" w:cs="Times New Roman"/>
          <w:color w:val="191919"/>
          <w:sz w:val="24"/>
          <w:szCs w:val="24"/>
        </w:rPr>
        <w:t xml:space="preserve"> was searched with a fragment ion mass tolerance of 0.020 Da and a parent ion tolerance of 10.0 PPM. Carbamidomethyl of cysteine and TMT6plex of lysine were specified in </w:t>
      </w:r>
      <w:proofErr w:type="spellStart"/>
      <w:r w:rsidRPr="00687826">
        <w:rPr>
          <w:rFonts w:ascii="Lucida Sans" w:eastAsia="Times New Roman" w:hAnsi="Lucida Sans" w:cs="Times New Roman"/>
          <w:color w:val="191919"/>
          <w:sz w:val="24"/>
          <w:szCs w:val="24"/>
        </w:rPr>
        <w:t>Sequest</w:t>
      </w:r>
      <w:proofErr w:type="spellEnd"/>
      <w:r w:rsidRPr="00687826">
        <w:rPr>
          <w:rFonts w:ascii="Lucida Sans" w:eastAsia="Times New Roman" w:hAnsi="Lucida Sans" w:cs="Times New Roman"/>
          <w:color w:val="191919"/>
          <w:sz w:val="24"/>
          <w:szCs w:val="24"/>
        </w:rPr>
        <w:t xml:space="preserve"> as fixed modifications. Oxidation of methionine and acetyl of the n- terminus were specified in </w:t>
      </w:r>
      <w:proofErr w:type="spellStart"/>
      <w:r w:rsidRPr="00687826">
        <w:rPr>
          <w:rFonts w:ascii="Lucida Sans" w:eastAsia="Times New Roman" w:hAnsi="Lucida Sans" w:cs="Times New Roman"/>
          <w:color w:val="191919"/>
          <w:sz w:val="24"/>
          <w:szCs w:val="24"/>
        </w:rPr>
        <w:t>Sequest</w:t>
      </w:r>
      <w:proofErr w:type="spellEnd"/>
      <w:r w:rsidRPr="00687826">
        <w:rPr>
          <w:rFonts w:ascii="Lucida Sans" w:eastAsia="Times New Roman" w:hAnsi="Lucida Sans" w:cs="Times New Roman"/>
          <w:color w:val="191919"/>
          <w:sz w:val="24"/>
          <w:szCs w:val="24"/>
        </w:rPr>
        <w:t xml:space="preserve"> as variable modifications.</w:t>
      </w:r>
    </w:p>
    <w:p w14:paraId="2DF851E0" w14:textId="77777777" w:rsidR="00687826" w:rsidRPr="00687826" w:rsidRDefault="00687826" w:rsidP="00687826">
      <w:pPr>
        <w:shd w:val="clear" w:color="auto" w:fill="FFFFFF"/>
        <w:spacing w:after="0" w:line="240" w:lineRule="auto"/>
        <w:textAlignment w:val="baseline"/>
        <w:rPr>
          <w:rFonts w:ascii="Lucida Sans" w:eastAsia="Times New Roman" w:hAnsi="Lucida Sans" w:cs="Times New Roman"/>
          <w:color w:val="191919"/>
          <w:sz w:val="24"/>
          <w:szCs w:val="24"/>
        </w:rPr>
      </w:pPr>
      <w:r w:rsidRPr="00687826">
        <w:rPr>
          <w:rFonts w:ascii="Lucida Sans" w:eastAsia="Times New Roman" w:hAnsi="Lucida Sans" w:cs="Times New Roman"/>
          <w:color w:val="191919"/>
          <w:sz w:val="24"/>
          <w:szCs w:val="24"/>
        </w:rPr>
        <w:t>Scaffold Q+ (version Scaffold_5.0.1, Proteome Software Inc., Portland, OR) was used to quantitate Label Based Quantitation peptide and protein identifications. Peptide identifications were accepted if they could be established at greater than 10.0% probability to achieve an FDR less than 1.0% by the Percolator posterior error probability calculation (</w:t>
      </w:r>
      <w:proofErr w:type="spellStart"/>
      <w:r w:rsidRPr="00687826">
        <w:rPr>
          <w:rFonts w:ascii="Lucida Sans" w:eastAsia="Times New Roman" w:hAnsi="Lucida Sans" w:cs="Times New Roman"/>
          <w:color w:val="191919"/>
          <w:sz w:val="24"/>
          <w:szCs w:val="24"/>
        </w:rPr>
        <w:fldChar w:fldCharType="begin"/>
      </w:r>
      <w:r w:rsidRPr="00687826">
        <w:rPr>
          <w:rFonts w:ascii="Lucida Sans" w:eastAsia="Times New Roman" w:hAnsi="Lucida Sans" w:cs="Times New Roman"/>
          <w:color w:val="191919"/>
          <w:sz w:val="24"/>
          <w:szCs w:val="24"/>
        </w:rPr>
        <w:instrText xml:space="preserve"> HYPERLINK "https://www.medrxiv.org/content/10.1101/2022.01.29.22269829v1.full-text" \l "ref-23" </w:instrText>
      </w:r>
      <w:r w:rsidRPr="00687826">
        <w:rPr>
          <w:rFonts w:ascii="Lucida Sans" w:eastAsia="Times New Roman" w:hAnsi="Lucida Sans" w:cs="Times New Roman"/>
          <w:color w:val="191919"/>
          <w:sz w:val="24"/>
          <w:szCs w:val="24"/>
        </w:rPr>
        <w:fldChar w:fldCharType="separate"/>
      </w:r>
      <w:r w:rsidRPr="00687826">
        <w:rPr>
          <w:rFonts w:ascii="inherit" w:eastAsia="Times New Roman" w:hAnsi="inherit" w:cs="Times New Roman"/>
          <w:b/>
          <w:bCs/>
          <w:color w:val="808080"/>
          <w:sz w:val="24"/>
          <w:szCs w:val="24"/>
          <w:u w:val="single"/>
          <w:bdr w:val="none" w:sz="0" w:space="0" w:color="auto" w:frame="1"/>
        </w:rPr>
        <w:t>Käll</w:t>
      </w:r>
      <w:proofErr w:type="spellEnd"/>
      <w:r w:rsidRPr="00687826">
        <w:rPr>
          <w:rFonts w:ascii="inherit" w:eastAsia="Times New Roman" w:hAnsi="inherit" w:cs="Times New Roman"/>
          <w:b/>
          <w:bCs/>
          <w:color w:val="808080"/>
          <w:sz w:val="24"/>
          <w:szCs w:val="24"/>
          <w:u w:val="single"/>
          <w:bdr w:val="none" w:sz="0" w:space="0" w:color="auto" w:frame="1"/>
        </w:rPr>
        <w:t xml:space="preserve"> et al., 2008</w:t>
      </w:r>
      <w:r w:rsidRPr="00687826">
        <w:rPr>
          <w:rFonts w:ascii="Lucida Sans" w:eastAsia="Times New Roman" w:hAnsi="Lucida Sans" w:cs="Times New Roman"/>
          <w:color w:val="191919"/>
          <w:sz w:val="24"/>
          <w:szCs w:val="24"/>
        </w:rPr>
        <w:fldChar w:fldCharType="end"/>
      </w:r>
      <w:r w:rsidRPr="00687826">
        <w:rPr>
          <w:rFonts w:ascii="Lucida Sans" w:eastAsia="Times New Roman" w:hAnsi="Lucida Sans" w:cs="Times New Roman"/>
          <w:color w:val="191919"/>
          <w:sz w:val="24"/>
          <w:szCs w:val="24"/>
        </w:rPr>
        <w:t>). Protein identifications were accepted if they could be established at greater than 99.0% probability to achieve an FDR less than 1.0% and contained at least 2 identified peptides. Protein probabilities were assigned by the Protein Prophet algorithm (</w:t>
      </w:r>
      <w:proofErr w:type="spellStart"/>
      <w:r w:rsidRPr="00687826">
        <w:rPr>
          <w:rFonts w:ascii="Lucida Sans" w:eastAsia="Times New Roman" w:hAnsi="Lucida Sans" w:cs="Times New Roman"/>
          <w:color w:val="191919"/>
          <w:sz w:val="24"/>
          <w:szCs w:val="24"/>
        </w:rPr>
        <w:fldChar w:fldCharType="begin"/>
      </w:r>
      <w:r w:rsidRPr="00687826">
        <w:rPr>
          <w:rFonts w:ascii="Lucida Sans" w:eastAsia="Times New Roman" w:hAnsi="Lucida Sans" w:cs="Times New Roman"/>
          <w:color w:val="191919"/>
          <w:sz w:val="24"/>
          <w:szCs w:val="24"/>
        </w:rPr>
        <w:instrText xml:space="preserve"> HYPERLINK "https://www.medrxiv.org/content/10.1101/2022.01.29.22269829v1.full-text" \l "ref-39" </w:instrText>
      </w:r>
      <w:r w:rsidRPr="00687826">
        <w:rPr>
          <w:rFonts w:ascii="Lucida Sans" w:eastAsia="Times New Roman" w:hAnsi="Lucida Sans" w:cs="Times New Roman"/>
          <w:color w:val="191919"/>
          <w:sz w:val="24"/>
          <w:szCs w:val="24"/>
        </w:rPr>
        <w:fldChar w:fldCharType="separate"/>
      </w:r>
      <w:r w:rsidRPr="00687826">
        <w:rPr>
          <w:rFonts w:ascii="inherit" w:eastAsia="Times New Roman" w:hAnsi="inherit" w:cs="Times New Roman"/>
          <w:b/>
          <w:bCs/>
          <w:color w:val="808080"/>
          <w:sz w:val="24"/>
          <w:szCs w:val="24"/>
          <w:u w:val="single"/>
          <w:bdr w:val="none" w:sz="0" w:space="0" w:color="auto" w:frame="1"/>
        </w:rPr>
        <w:t>Nesvizhskii</w:t>
      </w:r>
      <w:proofErr w:type="spellEnd"/>
      <w:r w:rsidRPr="00687826">
        <w:rPr>
          <w:rFonts w:ascii="inherit" w:eastAsia="Times New Roman" w:hAnsi="inherit" w:cs="Times New Roman"/>
          <w:b/>
          <w:bCs/>
          <w:color w:val="808080"/>
          <w:sz w:val="24"/>
          <w:szCs w:val="24"/>
          <w:u w:val="single"/>
          <w:bdr w:val="none" w:sz="0" w:space="0" w:color="auto" w:frame="1"/>
        </w:rPr>
        <w:t xml:space="preserve"> et al., 2003</w:t>
      </w:r>
      <w:r w:rsidRPr="00687826">
        <w:rPr>
          <w:rFonts w:ascii="Lucida Sans" w:eastAsia="Times New Roman" w:hAnsi="Lucida Sans" w:cs="Times New Roman"/>
          <w:color w:val="191919"/>
          <w:sz w:val="24"/>
          <w:szCs w:val="24"/>
        </w:rPr>
        <w:fldChar w:fldCharType="end"/>
      </w:r>
      <w:r w:rsidRPr="00687826">
        <w:rPr>
          <w:rFonts w:ascii="Lucida Sans" w:eastAsia="Times New Roman" w:hAnsi="Lucida Sans" w:cs="Times New Roman"/>
          <w:color w:val="191919"/>
          <w:sz w:val="24"/>
          <w:szCs w:val="24"/>
        </w:rPr>
        <w:t xml:space="preserve">). Proteins that contained similar peptides and could not be differentiated based on MS/MS analysis alone were grouped to satisfy the principles of parsimony. Channels were corrected by the matrix found in Supplemental Table 2 in all samples according to the algorithm described in </w:t>
      </w:r>
      <w:proofErr w:type="spellStart"/>
      <w:r w:rsidRPr="00687826">
        <w:rPr>
          <w:rFonts w:ascii="Lucida Sans" w:eastAsia="Times New Roman" w:hAnsi="Lucida Sans" w:cs="Times New Roman"/>
          <w:color w:val="191919"/>
          <w:sz w:val="24"/>
          <w:szCs w:val="24"/>
        </w:rPr>
        <w:t>i</w:t>
      </w:r>
      <w:proofErr w:type="spellEnd"/>
      <w:r w:rsidRPr="00687826">
        <w:rPr>
          <w:rFonts w:ascii="Lucida Sans" w:eastAsia="Times New Roman" w:hAnsi="Lucida Sans" w:cs="Times New Roman"/>
          <w:color w:val="191919"/>
          <w:sz w:val="24"/>
          <w:szCs w:val="24"/>
        </w:rPr>
        <w:t>-Tracker (</w:t>
      </w:r>
      <w:proofErr w:type="spellStart"/>
      <w:r w:rsidRPr="00687826">
        <w:rPr>
          <w:rFonts w:ascii="Lucida Sans" w:eastAsia="Times New Roman" w:hAnsi="Lucida Sans" w:cs="Times New Roman"/>
          <w:color w:val="191919"/>
          <w:sz w:val="24"/>
          <w:szCs w:val="24"/>
        </w:rPr>
        <w:fldChar w:fldCharType="begin"/>
      </w:r>
      <w:r w:rsidRPr="00687826">
        <w:rPr>
          <w:rFonts w:ascii="Lucida Sans" w:eastAsia="Times New Roman" w:hAnsi="Lucida Sans" w:cs="Times New Roman"/>
          <w:color w:val="191919"/>
          <w:sz w:val="24"/>
          <w:szCs w:val="24"/>
        </w:rPr>
        <w:instrText xml:space="preserve"> HYPERLINK "https://www.medrxiv.org/content/10.1101/2022.01.29.22269829v1.full-text" \l "ref-49" </w:instrText>
      </w:r>
      <w:r w:rsidRPr="00687826">
        <w:rPr>
          <w:rFonts w:ascii="Lucida Sans" w:eastAsia="Times New Roman" w:hAnsi="Lucida Sans" w:cs="Times New Roman"/>
          <w:color w:val="191919"/>
          <w:sz w:val="24"/>
          <w:szCs w:val="24"/>
        </w:rPr>
        <w:fldChar w:fldCharType="separate"/>
      </w:r>
      <w:r w:rsidRPr="00687826">
        <w:rPr>
          <w:rFonts w:ascii="inherit" w:eastAsia="Times New Roman" w:hAnsi="inherit" w:cs="Times New Roman"/>
          <w:b/>
          <w:bCs/>
          <w:color w:val="808080"/>
          <w:sz w:val="24"/>
          <w:szCs w:val="24"/>
          <w:u w:val="single"/>
          <w:bdr w:val="none" w:sz="0" w:space="0" w:color="auto" w:frame="1"/>
        </w:rPr>
        <w:t>Shadforth</w:t>
      </w:r>
      <w:proofErr w:type="spellEnd"/>
      <w:r w:rsidRPr="00687826">
        <w:rPr>
          <w:rFonts w:ascii="inherit" w:eastAsia="Times New Roman" w:hAnsi="inherit" w:cs="Times New Roman"/>
          <w:b/>
          <w:bCs/>
          <w:color w:val="808080"/>
          <w:sz w:val="24"/>
          <w:szCs w:val="24"/>
          <w:u w:val="single"/>
          <w:bdr w:val="none" w:sz="0" w:space="0" w:color="auto" w:frame="1"/>
        </w:rPr>
        <w:t xml:space="preserve"> et al., 2005</w:t>
      </w:r>
      <w:r w:rsidRPr="00687826">
        <w:rPr>
          <w:rFonts w:ascii="Lucida Sans" w:eastAsia="Times New Roman" w:hAnsi="Lucida Sans" w:cs="Times New Roman"/>
          <w:color w:val="191919"/>
          <w:sz w:val="24"/>
          <w:szCs w:val="24"/>
        </w:rPr>
        <w:fldChar w:fldCharType="end"/>
      </w:r>
      <w:r w:rsidRPr="00687826">
        <w:rPr>
          <w:rFonts w:ascii="Lucida Sans" w:eastAsia="Times New Roman" w:hAnsi="Lucida Sans" w:cs="Times New Roman"/>
          <w:color w:val="191919"/>
          <w:sz w:val="24"/>
          <w:szCs w:val="24"/>
        </w:rPr>
        <w:t>). Normalization was performed iteratively (across samples and spectra) on intensities, as described in Statistical Analysis of Relative Labeled Mass Spectrometry Data from Complex Samples Using ANOVA (</w:t>
      </w:r>
      <w:hyperlink r:id="rId4" w:anchor="ref-41" w:history="1">
        <w:r w:rsidRPr="00687826">
          <w:rPr>
            <w:rFonts w:ascii="inherit" w:eastAsia="Times New Roman" w:hAnsi="inherit" w:cs="Times New Roman"/>
            <w:b/>
            <w:bCs/>
            <w:color w:val="808080"/>
            <w:sz w:val="24"/>
            <w:szCs w:val="24"/>
            <w:u w:val="single"/>
            <w:bdr w:val="none" w:sz="0" w:space="0" w:color="auto" w:frame="1"/>
          </w:rPr>
          <w:t>Oberg et al., 2008</w:t>
        </w:r>
      </w:hyperlink>
      <w:r w:rsidRPr="00687826">
        <w:rPr>
          <w:rFonts w:ascii="Lucida Sans" w:eastAsia="Times New Roman" w:hAnsi="Lucida Sans" w:cs="Times New Roman"/>
          <w:color w:val="191919"/>
          <w:sz w:val="24"/>
          <w:szCs w:val="24"/>
        </w:rPr>
        <w:t>). Medians were used for averaging. Spectra data were log-transformed, pruned of those matched to multiple proteins and those missing a reference value, and weighted by an adaptive intensity weighting algorithm.</w:t>
      </w:r>
    </w:p>
    <w:p w14:paraId="3ABE37D7" w14:textId="77777777" w:rsidR="00D508A5" w:rsidRDefault="00D508A5"/>
    <w:sectPr w:rsidR="00D508A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4340"/>
    <w:rsid w:val="00064B80"/>
    <w:rsid w:val="005A5323"/>
    <w:rsid w:val="00687826"/>
    <w:rsid w:val="00704340"/>
    <w:rsid w:val="00822D95"/>
    <w:rsid w:val="00D508A5"/>
    <w:rsid w:val="00FA19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9A5783"/>
  <w15:chartTrackingRefBased/>
  <w15:docId w15:val="{73AE2A4B-A9DA-40E6-880B-16F132E48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68782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687826"/>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68782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68782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701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medrxiv.org/content/10.1101/2022.01.29.22269829v1.full-tex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837</Words>
  <Characters>4773</Characters>
  <Application>Microsoft Office Word</Application>
  <DocSecurity>0</DocSecurity>
  <Lines>39</Lines>
  <Paragraphs>11</Paragraphs>
  <ScaleCrop>false</ScaleCrop>
  <Company/>
  <LinksUpToDate>false</LinksUpToDate>
  <CharactersWithSpaces>5599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Charlie Demurjian</dc:creator>
  <cp:keywords/>
  <dc:description/>
  <cp:lastModifiedBy>Charlie Demurjian</cp:lastModifiedBy>
  <cp:revision>4</cp:revision>
  <dcterms:created xsi:type="dcterms:W3CDTF">2023-02-27T21:02:00Z</dcterms:created>
  <dcterms:modified xsi:type="dcterms:W3CDTF">2023-02-27T21:05:00Z</dcterms:modified>
</cp:coreProperties>
</file>