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757F67F" w14:textId="77777777" w:rsidR="00CF6AB3" w:rsidRDefault="00CF6AB3" w:rsidP="00CF6AB3">
      <w:pPr>
        <w:pStyle w:val="NormalWeb"/>
        <w:rPr>
          <w:rFonts w:ascii="Calibri" w:hAnsi="Calibri" w:cs="Calibri"/>
        </w:rPr>
      </w:pPr>
      <w:r w:rsidRPr="00CF6AB3">
        <w:rPr>
          <w:rFonts w:ascii="Calibri" w:hAnsi="Calibri" w:cs="Calibri"/>
        </w:rPr>
        <w:t xml:space="preserve">2.1 </w:t>
      </w:r>
      <w:r w:rsidRPr="00CF6AB3">
        <w:rPr>
          <w:rFonts w:ascii="Calibri" w:hAnsi="Calibri" w:cs="Calibri"/>
        </w:rPr>
        <w:t>Tissue acquisition and isolation of human endometrial cells</w:t>
      </w:r>
    </w:p>
    <w:p w14:paraId="71507785" w14:textId="5498084E" w:rsidR="00CF6AB3" w:rsidRPr="00CF6AB3" w:rsidRDefault="00CF6AB3" w:rsidP="00CF6AB3">
      <w:pPr>
        <w:pStyle w:val="NormalWeb"/>
        <w:rPr>
          <w:rFonts w:ascii="Calibri" w:hAnsi="Calibri" w:cs="Calibri"/>
        </w:rPr>
      </w:pPr>
      <w:r w:rsidRPr="00CF6AB3">
        <w:rPr>
          <w:rFonts w:ascii="Calibri" w:hAnsi="Calibri" w:cs="Calibri"/>
        </w:rPr>
        <w:t>All participants provided informed consent in accordance with a protocol approved by the Partners Human Research Committee and the Massachusetts Institute of Technology Committee on the Use of Humans as Experimental Subjects (Protocol number IRB-P001994). Endometrial tissue was obtained from pipelle biopsies from reproductive age women (N = 18, ages 18–45; Table S1) undergoing laparoscopic surgery for non-malignant gynecologic indications. Study enrollment was limited to pre-menopausal women and excluded patients with an irregular or ambiguous cycle, or a history of hormone use in the 3 months prior to surgery. Cycle phase dating was performed as described elsewhere</w:t>
      </w:r>
      <w:r w:rsidRPr="00CF6AB3">
        <w:rPr>
          <w:rFonts w:ascii="Calibri" w:hAnsi="Calibri" w:cs="Calibri"/>
          <w:position w:val="8"/>
        </w:rPr>
        <w:t xml:space="preserve"> </w:t>
      </w:r>
      <w:r w:rsidRPr="00CF6AB3">
        <w:rPr>
          <w:rFonts w:ascii="Calibri" w:hAnsi="Calibri" w:cs="Calibri"/>
        </w:rPr>
        <w:t>by histological analysis (Figure S20 in Data File 1). Endometrial epithelial glands and stromal cells were isolated by enzymatic digestion and filter-separated as previously described,</w:t>
      </w:r>
      <w:r w:rsidRPr="00CF6AB3">
        <w:rPr>
          <w:rFonts w:ascii="Calibri" w:hAnsi="Calibri" w:cs="Calibri"/>
          <w:position w:val="8"/>
        </w:rPr>
        <w:t xml:space="preserve"> </w:t>
      </w:r>
      <w:r w:rsidRPr="00CF6AB3">
        <w:rPr>
          <w:rFonts w:ascii="Calibri" w:hAnsi="Calibri" w:cs="Calibri"/>
        </w:rPr>
        <w:t>resulting in R95% purity as assessed by positive staining for vimentin and morphological assessment. Briefly, single stromal cells were separated from intact epithelial glands fragments and cultured separately. Stromal cells were expanded in traditional 2D cultures (as described below</w:t>
      </w:r>
      <w:proofErr w:type="gramStart"/>
      <w:r w:rsidRPr="00CF6AB3">
        <w:rPr>
          <w:rFonts w:ascii="Calibri" w:hAnsi="Calibri" w:cs="Calibri"/>
        </w:rPr>
        <w:t>)</w:t>
      </w:r>
      <w:proofErr w:type="gramEnd"/>
      <w:r w:rsidRPr="00CF6AB3">
        <w:rPr>
          <w:rFonts w:ascii="Calibri" w:hAnsi="Calibri" w:cs="Calibri"/>
        </w:rPr>
        <w:t xml:space="preserve"> and epithelial glands were cultured as organoids using protocols adapted from Turco et al.</w:t>
      </w:r>
      <w:r w:rsidRPr="00CF6AB3">
        <w:rPr>
          <w:rFonts w:ascii="Calibri" w:hAnsi="Calibri" w:cs="Calibri"/>
          <w:position w:val="8"/>
        </w:rPr>
        <w:t xml:space="preserve"> </w:t>
      </w:r>
      <w:r w:rsidRPr="00CF6AB3">
        <w:rPr>
          <w:rFonts w:ascii="Calibri" w:hAnsi="Calibri" w:cs="Calibri"/>
        </w:rPr>
        <w:t xml:space="preserve">All cells were passaged a maximum of 5 times for all experimental in vitro assessments. For this study, we only included all female (individuals with a uterus). Limited or no metadata information regarding clinical and ethnic or socioeconomic background was available for some patients. </w:t>
      </w:r>
    </w:p>
    <w:p w14:paraId="2874D7FB" w14:textId="77777777" w:rsidR="00AA76A2" w:rsidRPr="00CF6AB3" w:rsidRDefault="00AA76A2">
      <w:pPr>
        <w:rPr>
          <w:rFonts w:ascii="Calibri" w:hAnsi="Calibri" w:cs="Calibri"/>
        </w:rPr>
      </w:pPr>
    </w:p>
    <w:sectPr w:rsidR="00AA76A2" w:rsidRPr="00CF6AB3">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0002AFF" w:usb1="C000247B" w:usb2="00000009" w:usb3="00000000" w:csb0="000001FF" w:csb1="00000000"/>
  </w:font>
  <w:font w:name="Malgun Gothic">
    <w:altName w:val="맑은 고딕"/>
    <w:panose1 w:val="020B0503020000020004"/>
    <w:charset w:val="81"/>
    <w:family w:val="swiss"/>
    <w:pitch w:val="variable"/>
    <w:sig w:usb0="9000002F" w:usb1="29D77CFB" w:usb2="00000012" w:usb3="00000000" w:csb0="00080001"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206"/>
  <w:proofState w:spelling="clean" w:grammar="clean"/>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55C9F"/>
    <w:rsid w:val="00054793"/>
    <w:rsid w:val="00093952"/>
    <w:rsid w:val="0010611D"/>
    <w:rsid w:val="00380F74"/>
    <w:rsid w:val="00530446"/>
    <w:rsid w:val="005B6127"/>
    <w:rsid w:val="00601CF5"/>
    <w:rsid w:val="00755C9F"/>
    <w:rsid w:val="00847AF0"/>
    <w:rsid w:val="0086605A"/>
    <w:rsid w:val="008A488C"/>
    <w:rsid w:val="00AA76A2"/>
    <w:rsid w:val="00AB4869"/>
    <w:rsid w:val="00B8384B"/>
    <w:rsid w:val="00C65064"/>
    <w:rsid w:val="00CF6AB3"/>
    <w:rsid w:val="00D52036"/>
    <w:rsid w:val="00D90F36"/>
    <w:rsid w:val="00E7564C"/>
    <w:rsid w:val="00F90EFC"/>
  </w:rsids>
  <m:mathPr>
    <m:mathFont m:val="Cambria Math"/>
    <m:brkBin m:val="before"/>
    <m:brkBinSub m:val="--"/>
    <m:smallFrac m:val="0"/>
    <m:dispDef/>
    <m:lMargin m:val="0"/>
    <m:rMargin m:val="0"/>
    <m:defJc m:val="centerGroup"/>
    <m:wrapIndent m:val="1440"/>
    <m:intLim m:val="subSup"/>
    <m:naryLim m:val="undOvr"/>
  </m:mathPr>
  <w:themeFontLang w:val="en-US" w:eastAsia="ko-KR"/>
  <w:clrSchemeMapping w:bg1="light1" w:t1="dark1" w:bg2="light2" w:t2="dark2" w:accent1="accent1" w:accent2="accent2" w:accent3="accent3" w:accent4="accent4" w:accent5="accent5" w:accent6="accent6" w:hyperlink="hyperlink" w:followedHyperlink="followedHyperlink"/>
  <w:decimalSymbol w:val="."/>
  <w:listSeparator w:val=","/>
  <w14:docId w14:val="663D731D"/>
  <w15:chartTrackingRefBased/>
  <w15:docId w15:val="{18B2F97E-A0BE-EE43-9CAA-FE625E8D3DD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4"/>
        <w:szCs w:val="24"/>
        <w:lang w:val="en-US" w:eastAsia="ko-KR" w:bidi="ar-SA"/>
        <w14:ligatures w14:val="standardContextual"/>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CF6AB3"/>
    <w:pPr>
      <w:spacing w:before="100" w:beforeAutospacing="1" w:after="100" w:afterAutospacing="1"/>
    </w:pPr>
    <w:rPr>
      <w:rFonts w:ascii="Times New Roman" w:eastAsia="Times New Roman" w:hAnsi="Times New Roman" w:cs="Times New Roman"/>
      <w:kern w:val="0"/>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19467789">
      <w:bodyDiv w:val="1"/>
      <w:marLeft w:val="0"/>
      <w:marRight w:val="0"/>
      <w:marTop w:val="0"/>
      <w:marBottom w:val="0"/>
      <w:divBdr>
        <w:top w:val="none" w:sz="0" w:space="0" w:color="auto"/>
        <w:left w:val="none" w:sz="0" w:space="0" w:color="auto"/>
        <w:bottom w:val="none" w:sz="0" w:space="0" w:color="auto"/>
        <w:right w:val="none" w:sz="0" w:space="0" w:color="auto"/>
      </w:divBdr>
      <w:divsChild>
        <w:div w:id="557321521">
          <w:marLeft w:val="0"/>
          <w:marRight w:val="0"/>
          <w:marTop w:val="0"/>
          <w:marBottom w:val="0"/>
          <w:divBdr>
            <w:top w:val="none" w:sz="0" w:space="0" w:color="auto"/>
            <w:left w:val="none" w:sz="0" w:space="0" w:color="auto"/>
            <w:bottom w:val="none" w:sz="0" w:space="0" w:color="auto"/>
            <w:right w:val="none" w:sz="0" w:space="0" w:color="auto"/>
          </w:divBdr>
          <w:divsChild>
            <w:div w:id="1307517134">
              <w:marLeft w:val="0"/>
              <w:marRight w:val="0"/>
              <w:marTop w:val="0"/>
              <w:marBottom w:val="0"/>
              <w:divBdr>
                <w:top w:val="none" w:sz="0" w:space="0" w:color="auto"/>
                <w:left w:val="none" w:sz="0" w:space="0" w:color="auto"/>
                <w:bottom w:val="none" w:sz="0" w:space="0" w:color="auto"/>
                <w:right w:val="none" w:sz="0" w:space="0" w:color="auto"/>
              </w:divBdr>
              <w:divsChild>
                <w:div w:id="19701609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237</Words>
  <Characters>1354</Characters>
  <Application>Microsoft Office Word</Application>
  <DocSecurity>0</DocSecurity>
  <Lines>11</Lines>
  <Paragraphs>3</Paragraphs>
  <ScaleCrop>false</ScaleCrop>
  <Company/>
  <LinksUpToDate>false</LinksUpToDate>
  <CharactersWithSpaces>1588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Eunice Koo</dc:creator>
  <cp:keywords/>
  <dc:description/>
  <cp:lastModifiedBy>Eunice Koo</cp:lastModifiedBy>
  <cp:revision>2</cp:revision>
  <dcterms:created xsi:type="dcterms:W3CDTF">2023-10-30T18:47:00Z</dcterms:created>
  <dcterms:modified xsi:type="dcterms:W3CDTF">2023-10-30T18:50:00Z</dcterms:modified>
</cp:coreProperties>
</file>