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2BEFF" w14:textId="77777777" w:rsidR="00340A27" w:rsidRDefault="00340A27" w:rsidP="00340A27">
      <w:r w:rsidRPr="00340A27">
        <w:rPr>
          <w:b/>
          <w:bCs/>
        </w:rPr>
        <w:t>Cell culture.</w:t>
      </w:r>
      <w:r>
        <w:t xml:space="preserve"> </w:t>
      </w:r>
    </w:p>
    <w:p w14:paraId="0343DDDA" w14:textId="71E20936" w:rsidR="00E66045" w:rsidRDefault="00340A27" w:rsidP="00340A27">
      <w:r>
        <w:t>Normal human lung fibroblasts (NHLFs, Lonza, CC-2512) and human umbilical vein</w:t>
      </w:r>
      <w:r>
        <w:t xml:space="preserve"> </w:t>
      </w:r>
      <w:r>
        <w:t>endothelial cells (HUVECs, Lonza, CC-2935) were cultured in flasks coated with human gelatin</w:t>
      </w:r>
      <w:r>
        <w:t xml:space="preserve"> </w:t>
      </w:r>
      <w:r>
        <w:t>13</w:t>
      </w:r>
      <w:r>
        <w:t xml:space="preserve"> </w:t>
      </w:r>
      <w:r>
        <w:t>(0.5% in phosphate buffer saline (PBS, Gibco, 10010031), Sigma, G1393) in either fibroblast</w:t>
      </w:r>
      <w:r>
        <w:t xml:space="preserve"> </w:t>
      </w:r>
      <w:r>
        <w:t>medium (</w:t>
      </w:r>
      <w:proofErr w:type="spellStart"/>
      <w:r>
        <w:t>FibroLife</w:t>
      </w:r>
      <w:proofErr w:type="spellEnd"/>
      <w:r>
        <w:t xml:space="preserve"> S2 Fibroblast Medium Complete Kit, Lifeline Cell Technology LLC, LL-0011)</w:t>
      </w:r>
      <w:r>
        <w:t xml:space="preserve"> </w:t>
      </w:r>
      <w:r>
        <w:t>or vascular medium (</w:t>
      </w:r>
      <w:proofErr w:type="spellStart"/>
      <w:r>
        <w:t>VascuLife</w:t>
      </w:r>
      <w:proofErr w:type="spellEnd"/>
      <w:r>
        <w:t xml:space="preserve"> VEGF Endothelial Medium Complete Kit, Lifeline Cell Technology</w:t>
      </w:r>
      <w:r>
        <w:t xml:space="preserve"> </w:t>
      </w:r>
      <w:r>
        <w:t xml:space="preserve">LLC, LL-0003). HUVECs were </w:t>
      </w:r>
      <w:proofErr w:type="spellStart"/>
      <w:r>
        <w:t>immortalised</w:t>
      </w:r>
      <w:proofErr w:type="spellEnd"/>
      <w:r>
        <w:t xml:space="preserve"> and transfected to express blue fluorescent protein</w:t>
      </w:r>
      <w:r>
        <w:t xml:space="preserve"> </w:t>
      </w:r>
      <w:r>
        <w:t>as described previously90. Fibroblasts were used between passages 8 and 10 and endothelial</w:t>
      </w:r>
      <w:r>
        <w:t xml:space="preserve"> </w:t>
      </w:r>
      <w:r>
        <w:t>cells were used between passages 10 and 12. MDA-MB-231 cells (ATCC, CRM-HTB-26), MFC-7 cells (ATCC, CRL-3435) and SKBR3 cells (ATCC, HTB-30) were cultured in Dulbecco’s</w:t>
      </w:r>
      <w:r>
        <w:t xml:space="preserve"> </w:t>
      </w:r>
      <w:r>
        <w:t>modified eagle medium (DMEM, Gibco, 11995065) supplemented with 10% fetal bovine serum</w:t>
      </w:r>
      <w:r>
        <w:t xml:space="preserve"> </w:t>
      </w:r>
      <w:r>
        <w:t>(FBS, Gibco, 26140079) and 1% penicillin/streptomycin (P/S, Gibco, 15140122). MDA-MB-231</w:t>
      </w:r>
      <w:r>
        <w:t xml:space="preserve"> </w:t>
      </w:r>
      <w:r>
        <w:t xml:space="preserve">cells were transfected to express </w:t>
      </w:r>
      <w:proofErr w:type="spellStart"/>
      <w:r>
        <w:t>tdTomato</w:t>
      </w:r>
      <w:proofErr w:type="spellEnd"/>
      <w:r>
        <w:t xml:space="preserve"> and MCF-7 and SKBR3 cells were transfected to</w:t>
      </w:r>
      <w:r>
        <w:t xml:space="preserve"> e</w:t>
      </w:r>
      <w:r>
        <w:t>xpress red fluorescent protein as described previously91.</w:t>
      </w:r>
    </w:p>
    <w:sectPr w:rsidR="00E660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40C"/>
    <w:rsid w:val="00064B80"/>
    <w:rsid w:val="00340A27"/>
    <w:rsid w:val="00A1440C"/>
    <w:rsid w:val="00E66045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1D91D4"/>
  <w15:chartTrackingRefBased/>
  <w15:docId w15:val="{E4C052BC-5044-41AE-AD2E-0C37A5F35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2</cp:revision>
  <dcterms:created xsi:type="dcterms:W3CDTF">2023-01-23T18:56:00Z</dcterms:created>
  <dcterms:modified xsi:type="dcterms:W3CDTF">2023-01-23T18:59:00Z</dcterms:modified>
</cp:coreProperties>
</file>