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8279C" w14:textId="6C34F5DB" w:rsidR="00F034F9" w:rsidRPr="00602018" w:rsidRDefault="00F034F9">
      <w:pPr>
        <w:rPr>
          <w:sz w:val="24"/>
          <w:szCs w:val="24"/>
        </w:rPr>
      </w:pPr>
      <w:r w:rsidRPr="00602018">
        <w:rPr>
          <w:sz w:val="24"/>
          <w:szCs w:val="24"/>
        </w:rPr>
        <w:t xml:space="preserve">Chemical restraint: 10 mg/kg Ketamine </w:t>
      </w:r>
      <w:r w:rsidR="0067021B" w:rsidRPr="00602018">
        <w:rPr>
          <w:sz w:val="24"/>
          <w:szCs w:val="24"/>
        </w:rPr>
        <w:t>IM</w:t>
      </w:r>
    </w:p>
    <w:p w14:paraId="326B3176" w14:textId="77777777" w:rsidR="0067021B" w:rsidRPr="0067021B" w:rsidRDefault="0067021B" w:rsidP="0067021B">
      <w:pPr>
        <w:spacing w:before="360" w:after="120" w:line="240" w:lineRule="auto"/>
        <w:outlineLvl w:val="3"/>
        <w:rPr>
          <w:rFonts w:ascii="Georgia" w:eastAsia="Times New Roman" w:hAnsi="Georgia" w:cs="Times New Roman"/>
          <w:color w:val="2E2E2E"/>
          <w:sz w:val="24"/>
          <w:szCs w:val="24"/>
        </w:rPr>
      </w:pPr>
      <w:r w:rsidRPr="0067021B">
        <w:rPr>
          <w:rFonts w:ascii="Georgia" w:eastAsia="Times New Roman" w:hAnsi="Georgia" w:cs="Times New Roman"/>
          <w:color w:val="2E2E2E"/>
          <w:sz w:val="24"/>
          <w:szCs w:val="24"/>
        </w:rPr>
        <w:t>Serial PET-CT Imaging</w:t>
      </w:r>
    </w:p>
    <w:p w14:paraId="5555515C" w14:textId="77777777" w:rsidR="0067021B" w:rsidRPr="0067021B" w:rsidRDefault="0067021B" w:rsidP="0067021B">
      <w:pPr>
        <w:spacing w:after="0" w:line="240" w:lineRule="auto"/>
        <w:rPr>
          <w:rFonts w:ascii="Georgia" w:eastAsia="Times New Roman" w:hAnsi="Georgia" w:cs="Times New Roman"/>
          <w:color w:val="2E2E2E"/>
          <w:sz w:val="24"/>
          <w:szCs w:val="24"/>
        </w:rPr>
      </w:pPr>
      <w:r w:rsidRPr="0067021B">
        <w:rPr>
          <w:rFonts w:ascii="Georgia" w:eastAsia="Times New Roman" w:hAnsi="Georgia" w:cs="Times New Roman"/>
          <w:color w:val="2E2E2E"/>
          <w:sz w:val="24"/>
          <w:szCs w:val="24"/>
        </w:rPr>
        <w:t xml:space="preserve">Animals underwent PET-CT scans after </w:t>
      </w:r>
      <w:proofErr w:type="spellStart"/>
      <w:r w:rsidRPr="0067021B">
        <w:rPr>
          <w:rFonts w:ascii="Georgia" w:eastAsia="Times New Roman" w:hAnsi="Georgia" w:cs="Times New Roman"/>
          <w:color w:val="2E2E2E"/>
          <w:sz w:val="24"/>
          <w:szCs w:val="24"/>
        </w:rPr>
        <w:t>Mtb</w:t>
      </w:r>
      <w:proofErr w:type="spellEnd"/>
      <w:r w:rsidRPr="0067021B">
        <w:rPr>
          <w:rFonts w:ascii="Georgia" w:eastAsia="Times New Roman" w:hAnsi="Georgia" w:cs="Times New Roman"/>
          <w:color w:val="2E2E2E"/>
          <w:sz w:val="24"/>
          <w:szCs w:val="24"/>
        </w:rPr>
        <w:t xml:space="preserve"> infection at 4 weeks, 8 weeks and pre necropsy (i.e. 10 weeks post-infection) as previously described (</w:t>
      </w:r>
      <w:bookmarkStart w:id="0" w:name="bbib138"/>
      <w:r w:rsidRPr="0067021B">
        <w:rPr>
          <w:rFonts w:ascii="Georgia" w:eastAsia="Times New Roman" w:hAnsi="Georgia" w:cs="Times New Roman"/>
          <w:color w:val="2E2E2E"/>
          <w:sz w:val="24"/>
          <w:szCs w:val="24"/>
        </w:rPr>
        <w:fldChar w:fldCharType="begin"/>
      </w:r>
      <w:r w:rsidRPr="0067021B">
        <w:rPr>
          <w:rFonts w:ascii="Georgia" w:eastAsia="Times New Roman" w:hAnsi="Georgia" w:cs="Times New Roman"/>
          <w:color w:val="2E2E2E"/>
          <w:sz w:val="24"/>
          <w:szCs w:val="24"/>
        </w:rPr>
        <w:instrText xml:space="preserve"> HYPERLINK "https://www.sciencedirect.com/science/article/pii/S1074761322001753?via%3Dihub" \l "bib138" </w:instrText>
      </w:r>
      <w:r w:rsidRPr="0067021B">
        <w:rPr>
          <w:rFonts w:ascii="Georgia" w:eastAsia="Times New Roman" w:hAnsi="Georgia" w:cs="Times New Roman"/>
          <w:color w:val="2E2E2E"/>
          <w:sz w:val="24"/>
          <w:szCs w:val="24"/>
        </w:rPr>
        <w:fldChar w:fldCharType="separate"/>
      </w:r>
      <w:r w:rsidRPr="0067021B">
        <w:rPr>
          <w:rFonts w:ascii="Georgia" w:eastAsia="Times New Roman" w:hAnsi="Georgia" w:cs="Times New Roman"/>
          <w:color w:val="0C7DBB"/>
          <w:sz w:val="24"/>
          <w:szCs w:val="24"/>
          <w:u w:val="single"/>
        </w:rPr>
        <w:t>White et al., 2017</w:t>
      </w:r>
      <w:r w:rsidRPr="0067021B">
        <w:rPr>
          <w:rFonts w:ascii="Georgia" w:eastAsia="Times New Roman" w:hAnsi="Georgia" w:cs="Times New Roman"/>
          <w:color w:val="2E2E2E"/>
          <w:sz w:val="24"/>
          <w:szCs w:val="24"/>
        </w:rPr>
        <w:fldChar w:fldCharType="end"/>
      </w:r>
      <w:r w:rsidRPr="0067021B">
        <w:rPr>
          <w:rFonts w:ascii="Georgia" w:eastAsia="Times New Roman" w:hAnsi="Georgia" w:cs="Times New Roman"/>
          <w:color w:val="2E2E2E"/>
          <w:sz w:val="24"/>
          <w:szCs w:val="24"/>
        </w:rPr>
        <w:t xml:space="preserve">). Briefly, animals were sedated, </w:t>
      </w:r>
      <w:proofErr w:type="gramStart"/>
      <w:r w:rsidRPr="0067021B">
        <w:rPr>
          <w:rFonts w:ascii="Georgia" w:eastAsia="Times New Roman" w:hAnsi="Georgia" w:cs="Times New Roman"/>
          <w:color w:val="2E2E2E"/>
          <w:sz w:val="24"/>
          <w:szCs w:val="24"/>
        </w:rPr>
        <w:t>intubated</w:t>
      </w:r>
      <w:proofErr w:type="gramEnd"/>
      <w:r w:rsidRPr="0067021B">
        <w:rPr>
          <w:rFonts w:ascii="Georgia" w:eastAsia="Times New Roman" w:hAnsi="Georgia" w:cs="Times New Roman"/>
          <w:color w:val="2E2E2E"/>
          <w:sz w:val="24"/>
          <w:szCs w:val="24"/>
        </w:rPr>
        <w:t xml:space="preserve"> and imaged by 2-deoxy-2-</w:t>
      </w:r>
      <w:r w:rsidRPr="0067021B">
        <w:rPr>
          <w:rFonts w:ascii="Georgia" w:eastAsia="Times New Roman" w:hAnsi="Georgia" w:cs="Times New Roman"/>
          <w:color w:val="2E2E2E"/>
          <w:sz w:val="24"/>
          <w:szCs w:val="24"/>
          <w:vertAlign w:val="superscript"/>
        </w:rPr>
        <w:t>18</w:t>
      </w:r>
      <w:r w:rsidRPr="0067021B">
        <w:rPr>
          <w:rFonts w:ascii="Georgia" w:eastAsia="Times New Roman" w:hAnsi="Georgia" w:cs="Times New Roman"/>
          <w:color w:val="2E2E2E"/>
          <w:sz w:val="24"/>
          <w:szCs w:val="24"/>
        </w:rPr>
        <w:t>F-D-deoxyglucose (FDG) PET imaging (</w:t>
      </w:r>
      <w:proofErr w:type="spellStart"/>
      <w:r w:rsidRPr="0067021B">
        <w:rPr>
          <w:rFonts w:ascii="Georgia" w:eastAsia="Times New Roman" w:hAnsi="Georgia" w:cs="Times New Roman"/>
          <w:color w:val="2E2E2E"/>
          <w:sz w:val="24"/>
          <w:szCs w:val="24"/>
        </w:rPr>
        <w:t>microPET</w:t>
      </w:r>
      <w:proofErr w:type="spellEnd"/>
      <w:r w:rsidRPr="0067021B">
        <w:rPr>
          <w:rFonts w:ascii="Georgia" w:eastAsia="Times New Roman" w:hAnsi="Georgia" w:cs="Times New Roman"/>
          <w:color w:val="2E2E2E"/>
          <w:sz w:val="24"/>
          <w:szCs w:val="24"/>
        </w:rPr>
        <w:t xml:space="preserve"> Focus 220 preclinical PET scanner, </w:t>
      </w:r>
      <w:proofErr w:type="spellStart"/>
      <w:r w:rsidRPr="0067021B">
        <w:rPr>
          <w:rFonts w:ascii="Georgia" w:eastAsia="Times New Roman" w:hAnsi="Georgia" w:cs="Times New Roman"/>
          <w:color w:val="2E2E2E"/>
          <w:sz w:val="24"/>
          <w:szCs w:val="24"/>
        </w:rPr>
        <w:t>Seimens</w:t>
      </w:r>
      <w:proofErr w:type="spellEnd"/>
      <w:r w:rsidRPr="0067021B">
        <w:rPr>
          <w:rFonts w:ascii="Georgia" w:eastAsia="Times New Roman" w:hAnsi="Georgia" w:cs="Times New Roman"/>
          <w:color w:val="2E2E2E"/>
          <w:sz w:val="24"/>
          <w:szCs w:val="24"/>
        </w:rPr>
        <w:t xml:space="preserve"> Medical Solutions, USA, Malvern, PA) and </w:t>
      </w:r>
      <w:proofErr w:type="spellStart"/>
      <w:r w:rsidRPr="0067021B">
        <w:rPr>
          <w:rFonts w:ascii="Georgia" w:eastAsia="Times New Roman" w:hAnsi="Georgia" w:cs="Times New Roman"/>
          <w:color w:val="2E2E2E"/>
          <w:sz w:val="24"/>
          <w:szCs w:val="24"/>
        </w:rPr>
        <w:t>Cretom</w:t>
      </w:r>
      <w:proofErr w:type="spellEnd"/>
      <w:r w:rsidRPr="0067021B">
        <w:rPr>
          <w:rFonts w:ascii="Georgia" w:eastAsia="Times New Roman" w:hAnsi="Georgia" w:cs="Times New Roman"/>
          <w:color w:val="2E2E2E"/>
          <w:sz w:val="24"/>
          <w:szCs w:val="24"/>
        </w:rPr>
        <w:t xml:space="preserve"> CT scanner (</w:t>
      </w:r>
      <w:proofErr w:type="spellStart"/>
      <w:r w:rsidRPr="0067021B">
        <w:rPr>
          <w:rFonts w:ascii="Georgia" w:eastAsia="Times New Roman" w:hAnsi="Georgia" w:cs="Times New Roman"/>
          <w:color w:val="2E2E2E"/>
          <w:sz w:val="24"/>
          <w:szCs w:val="24"/>
        </w:rPr>
        <w:t>Neurologica</w:t>
      </w:r>
      <w:proofErr w:type="spellEnd"/>
      <w:r w:rsidRPr="0067021B">
        <w:rPr>
          <w:rFonts w:ascii="Georgia" w:eastAsia="Times New Roman" w:hAnsi="Georgia" w:cs="Times New Roman"/>
          <w:color w:val="2E2E2E"/>
          <w:sz w:val="24"/>
          <w:szCs w:val="24"/>
        </w:rPr>
        <w:t xml:space="preserve"> Corp, Danvers, MA, USA) within biosafety level 3 facility. The total lung FDG avidity was analyzed using </w:t>
      </w:r>
      <w:proofErr w:type="spellStart"/>
      <w:r w:rsidRPr="0067021B">
        <w:rPr>
          <w:rFonts w:ascii="Georgia" w:eastAsia="Times New Roman" w:hAnsi="Georgia" w:cs="Times New Roman"/>
          <w:color w:val="2E2E2E"/>
          <w:sz w:val="24"/>
          <w:szCs w:val="24"/>
        </w:rPr>
        <w:t>Osirix</w:t>
      </w:r>
      <w:proofErr w:type="spellEnd"/>
      <w:r w:rsidRPr="0067021B">
        <w:rPr>
          <w:rFonts w:ascii="Georgia" w:eastAsia="Times New Roman" w:hAnsi="Georgia" w:cs="Times New Roman"/>
          <w:color w:val="2E2E2E"/>
          <w:sz w:val="24"/>
          <w:szCs w:val="24"/>
        </w:rPr>
        <w:t xml:space="preserve"> viewer, an open-source PACS workstation and </w:t>
      </w:r>
      <w:hyperlink r:id="rId4" w:tooltip="Learn more about DICOM from ScienceDirect's AI-generated Topic Pages" w:history="1">
        <w:r w:rsidRPr="0067021B">
          <w:rPr>
            <w:rFonts w:ascii="Georgia" w:eastAsia="Times New Roman" w:hAnsi="Georgia" w:cs="Times New Roman"/>
            <w:color w:val="2E2E2E"/>
            <w:sz w:val="24"/>
            <w:szCs w:val="24"/>
            <w:u w:val="single"/>
          </w:rPr>
          <w:t>DICOM</w:t>
        </w:r>
      </w:hyperlink>
      <w:r w:rsidRPr="0067021B">
        <w:rPr>
          <w:rFonts w:ascii="Georgia" w:eastAsia="Times New Roman" w:hAnsi="Georgia" w:cs="Times New Roman"/>
          <w:color w:val="2E2E2E"/>
          <w:sz w:val="24"/>
          <w:szCs w:val="24"/>
        </w:rPr>
        <w:t> viewer (</w:t>
      </w:r>
      <w:proofErr w:type="spellStart"/>
      <w:r w:rsidRPr="0067021B">
        <w:rPr>
          <w:rFonts w:ascii="Georgia" w:eastAsia="Times New Roman" w:hAnsi="Georgia" w:cs="Times New Roman"/>
          <w:color w:val="2E2E2E"/>
          <w:sz w:val="24"/>
          <w:szCs w:val="24"/>
        </w:rPr>
        <w:t>Pixmeo</w:t>
      </w:r>
      <w:proofErr w:type="spellEnd"/>
      <w:r w:rsidRPr="0067021B">
        <w:rPr>
          <w:rFonts w:ascii="Georgia" w:eastAsia="Times New Roman" w:hAnsi="Georgia" w:cs="Times New Roman"/>
          <w:color w:val="2E2E2E"/>
          <w:sz w:val="24"/>
          <w:szCs w:val="24"/>
        </w:rPr>
        <w:t xml:space="preserve">, Bernex, Switzerland). The whole lung was segmented on CT by using the growing region algorithm on the </w:t>
      </w:r>
      <w:proofErr w:type="spellStart"/>
      <w:r w:rsidRPr="0067021B">
        <w:rPr>
          <w:rFonts w:ascii="Georgia" w:eastAsia="Times New Roman" w:hAnsi="Georgia" w:cs="Times New Roman"/>
          <w:color w:val="2E2E2E"/>
          <w:sz w:val="24"/>
          <w:szCs w:val="24"/>
        </w:rPr>
        <w:t>Osirix</w:t>
      </w:r>
      <w:proofErr w:type="spellEnd"/>
      <w:r w:rsidRPr="0067021B">
        <w:rPr>
          <w:rFonts w:ascii="Georgia" w:eastAsia="Times New Roman" w:hAnsi="Georgia" w:cs="Times New Roman"/>
          <w:color w:val="2E2E2E"/>
          <w:sz w:val="24"/>
          <w:szCs w:val="24"/>
        </w:rPr>
        <w:t xml:space="preserve"> viewer to create a ROI of normal lung (Hounsfield units &lt;200). The closing tool was used to include individual nodules and other </w:t>
      </w:r>
      <w:hyperlink r:id="rId5" w:tooltip="Learn more about pulmonary disease from ScienceDirect's AI-generated Topic Pages" w:history="1">
        <w:r w:rsidRPr="0067021B">
          <w:rPr>
            <w:rFonts w:ascii="Georgia" w:eastAsia="Times New Roman" w:hAnsi="Georgia" w:cs="Times New Roman"/>
            <w:color w:val="2E2E2E"/>
            <w:sz w:val="24"/>
            <w:szCs w:val="24"/>
            <w:u w:val="single"/>
          </w:rPr>
          <w:t>pulmonary disease</w:t>
        </w:r>
      </w:hyperlink>
      <w:r w:rsidRPr="0067021B">
        <w:rPr>
          <w:rFonts w:ascii="Georgia" w:eastAsia="Times New Roman" w:hAnsi="Georgia" w:cs="Times New Roman"/>
          <w:color w:val="2E2E2E"/>
          <w:sz w:val="24"/>
          <w:szCs w:val="24"/>
        </w:rPr>
        <w:t>. The ROI was transferred to the co-registered </w:t>
      </w:r>
      <w:hyperlink r:id="rId6" w:tooltip="Learn more about PET scan from ScienceDirect's AI-generated Topic Pages" w:history="1">
        <w:r w:rsidRPr="0067021B">
          <w:rPr>
            <w:rFonts w:ascii="Georgia" w:eastAsia="Times New Roman" w:hAnsi="Georgia" w:cs="Times New Roman"/>
            <w:color w:val="2E2E2E"/>
            <w:sz w:val="24"/>
            <w:szCs w:val="24"/>
            <w:u w:val="single"/>
          </w:rPr>
          <w:t>PET scan</w:t>
        </w:r>
      </w:hyperlink>
      <w:r w:rsidRPr="0067021B">
        <w:rPr>
          <w:rFonts w:ascii="Georgia" w:eastAsia="Times New Roman" w:hAnsi="Georgia" w:cs="Times New Roman"/>
          <w:color w:val="2E2E2E"/>
          <w:sz w:val="24"/>
          <w:szCs w:val="24"/>
        </w:rPr>
        <w:t> and manually edited to ensure all pulmonary disease was included. Voxels outside the ROI were set to zero and voxels with an SUV greater than or equal to normal lung (SUV &gt;2.3) were isolated. Finally, the “Export ROIs” plug-in was then used to export the data from these isolated ROIs to a spreadsheet where the total SUV per voxel were summed to represent the total lung FDG activity. Total FDG activity in lungs was used to estimate thoracic bacterial burden prior to reinfection (</w:t>
      </w:r>
      <w:bookmarkStart w:id="1" w:name="bfig1"/>
      <w:r w:rsidRPr="0067021B">
        <w:rPr>
          <w:rFonts w:ascii="Georgia" w:eastAsia="Times New Roman" w:hAnsi="Georgia" w:cs="Times New Roman"/>
          <w:color w:val="2E2E2E"/>
          <w:sz w:val="24"/>
          <w:szCs w:val="24"/>
        </w:rPr>
        <w:fldChar w:fldCharType="begin"/>
      </w:r>
      <w:r w:rsidRPr="0067021B">
        <w:rPr>
          <w:rFonts w:ascii="Georgia" w:eastAsia="Times New Roman" w:hAnsi="Georgia" w:cs="Times New Roman"/>
          <w:color w:val="2E2E2E"/>
          <w:sz w:val="24"/>
          <w:szCs w:val="24"/>
        </w:rPr>
        <w:instrText xml:space="preserve"> HYPERLINK "https://www.sciencedirect.com/science/article/pii/S1074761322001753?via%3Dihub" \l "fig1" </w:instrText>
      </w:r>
      <w:r w:rsidRPr="0067021B">
        <w:rPr>
          <w:rFonts w:ascii="Georgia" w:eastAsia="Times New Roman" w:hAnsi="Georgia" w:cs="Times New Roman"/>
          <w:color w:val="2E2E2E"/>
          <w:sz w:val="24"/>
          <w:szCs w:val="24"/>
        </w:rPr>
        <w:fldChar w:fldCharType="separate"/>
      </w:r>
      <w:r w:rsidRPr="0067021B">
        <w:rPr>
          <w:rFonts w:ascii="Georgia" w:eastAsia="Times New Roman" w:hAnsi="Georgia" w:cs="Times New Roman"/>
          <w:color w:val="0C7DBB"/>
          <w:sz w:val="24"/>
          <w:szCs w:val="24"/>
          <w:u w:val="single"/>
        </w:rPr>
        <w:t>Figure 1</w:t>
      </w:r>
      <w:r w:rsidRPr="0067021B">
        <w:rPr>
          <w:rFonts w:ascii="Georgia" w:eastAsia="Times New Roman" w:hAnsi="Georgia" w:cs="Times New Roman"/>
          <w:color w:val="2E2E2E"/>
          <w:sz w:val="24"/>
          <w:szCs w:val="24"/>
        </w:rPr>
        <w:fldChar w:fldCharType="end"/>
      </w:r>
      <w:bookmarkEnd w:id="1"/>
      <w:r w:rsidRPr="0067021B">
        <w:rPr>
          <w:rFonts w:ascii="Georgia" w:eastAsia="Times New Roman" w:hAnsi="Georgia" w:cs="Times New Roman"/>
          <w:color w:val="2E2E2E"/>
          <w:sz w:val="24"/>
          <w:szCs w:val="24"/>
        </w:rPr>
        <w:t>C), as previously published (</w:t>
      </w:r>
      <w:bookmarkStart w:id="2" w:name="bbib18"/>
      <w:r w:rsidRPr="0067021B">
        <w:rPr>
          <w:rFonts w:ascii="Georgia" w:eastAsia="Times New Roman" w:hAnsi="Georgia" w:cs="Times New Roman"/>
          <w:color w:val="2E2E2E"/>
          <w:sz w:val="24"/>
          <w:szCs w:val="24"/>
        </w:rPr>
        <w:fldChar w:fldCharType="begin"/>
      </w:r>
      <w:r w:rsidRPr="0067021B">
        <w:rPr>
          <w:rFonts w:ascii="Georgia" w:eastAsia="Times New Roman" w:hAnsi="Georgia" w:cs="Times New Roman"/>
          <w:color w:val="2E2E2E"/>
          <w:sz w:val="24"/>
          <w:szCs w:val="24"/>
        </w:rPr>
        <w:instrText xml:space="preserve"> HYPERLINK "https://www.sciencedirect.com/science/article/pii/S1074761322001753?via%3Dihub" \l "bib18" </w:instrText>
      </w:r>
      <w:r w:rsidRPr="0067021B">
        <w:rPr>
          <w:rFonts w:ascii="Georgia" w:eastAsia="Times New Roman" w:hAnsi="Georgia" w:cs="Times New Roman"/>
          <w:color w:val="2E2E2E"/>
          <w:sz w:val="24"/>
          <w:szCs w:val="24"/>
        </w:rPr>
        <w:fldChar w:fldCharType="separate"/>
      </w:r>
      <w:r w:rsidRPr="0067021B">
        <w:rPr>
          <w:rFonts w:ascii="Georgia" w:eastAsia="Times New Roman" w:hAnsi="Georgia" w:cs="Times New Roman"/>
          <w:color w:val="0C7DBB"/>
          <w:sz w:val="24"/>
          <w:szCs w:val="24"/>
          <w:u w:val="single"/>
        </w:rPr>
        <w:t>Coleman et al., 2014b</w:t>
      </w:r>
      <w:r w:rsidRPr="0067021B">
        <w:rPr>
          <w:rFonts w:ascii="Georgia" w:eastAsia="Times New Roman" w:hAnsi="Georgia" w:cs="Times New Roman"/>
          <w:color w:val="2E2E2E"/>
          <w:sz w:val="24"/>
          <w:szCs w:val="24"/>
        </w:rPr>
        <w:fldChar w:fldCharType="end"/>
      </w:r>
      <w:r w:rsidRPr="0067021B">
        <w:rPr>
          <w:rFonts w:ascii="Georgia" w:eastAsia="Times New Roman" w:hAnsi="Georgia" w:cs="Times New Roman"/>
          <w:color w:val="2E2E2E"/>
          <w:sz w:val="24"/>
          <w:szCs w:val="24"/>
        </w:rPr>
        <w:t>; </w:t>
      </w:r>
      <w:hyperlink r:id="rId7" w:anchor="bib138" w:history="1">
        <w:r w:rsidRPr="0067021B">
          <w:rPr>
            <w:rFonts w:ascii="Georgia" w:eastAsia="Times New Roman" w:hAnsi="Georgia" w:cs="Times New Roman"/>
            <w:color w:val="0C7DBB"/>
            <w:sz w:val="24"/>
            <w:szCs w:val="24"/>
            <w:u w:val="single"/>
          </w:rPr>
          <w:t>White et al., 2017</w:t>
        </w:r>
      </w:hyperlink>
      <w:r w:rsidRPr="0067021B">
        <w:rPr>
          <w:rFonts w:ascii="Georgia" w:eastAsia="Times New Roman" w:hAnsi="Georgia" w:cs="Times New Roman"/>
          <w:color w:val="2E2E2E"/>
          <w:sz w:val="24"/>
          <w:szCs w:val="24"/>
        </w:rPr>
        <w:t>). Granulomas were individually characterized by their date of establishment (scan date), size (mm), and relative metabolic activity as a proxy for inflammation ([</w:t>
      </w:r>
      <w:r w:rsidRPr="0067021B">
        <w:rPr>
          <w:rFonts w:ascii="Georgia" w:eastAsia="Times New Roman" w:hAnsi="Georgia" w:cs="Times New Roman"/>
          <w:color w:val="2E2E2E"/>
          <w:sz w:val="24"/>
          <w:szCs w:val="24"/>
          <w:vertAlign w:val="superscript"/>
        </w:rPr>
        <w:t>18</w:t>
      </w:r>
      <w:r w:rsidRPr="0067021B">
        <w:rPr>
          <w:rFonts w:ascii="Georgia" w:eastAsia="Times New Roman" w:hAnsi="Georgia" w:cs="Times New Roman"/>
          <w:color w:val="2E2E2E"/>
          <w:sz w:val="24"/>
          <w:szCs w:val="24"/>
        </w:rPr>
        <w:t>F]-FDG standard uptake normalized to muscle [SUVR]) (</w:t>
      </w:r>
      <w:hyperlink r:id="rId8" w:anchor="bib18" w:history="1">
        <w:r w:rsidRPr="0067021B">
          <w:rPr>
            <w:rFonts w:ascii="Georgia" w:eastAsia="Times New Roman" w:hAnsi="Georgia" w:cs="Times New Roman"/>
            <w:color w:val="0C7DBB"/>
            <w:sz w:val="24"/>
            <w:szCs w:val="24"/>
            <w:u w:val="single"/>
          </w:rPr>
          <w:t>Coleman et al., 2014b</w:t>
        </w:r>
      </w:hyperlink>
      <w:bookmarkEnd w:id="2"/>
      <w:r w:rsidRPr="0067021B">
        <w:rPr>
          <w:rFonts w:ascii="Georgia" w:eastAsia="Times New Roman" w:hAnsi="Georgia" w:cs="Times New Roman"/>
          <w:color w:val="2E2E2E"/>
          <w:sz w:val="24"/>
          <w:szCs w:val="24"/>
        </w:rPr>
        <w:t>; </w:t>
      </w:r>
      <w:hyperlink r:id="rId9" w:anchor="bib138" w:history="1">
        <w:r w:rsidRPr="0067021B">
          <w:rPr>
            <w:rFonts w:ascii="Georgia" w:eastAsia="Times New Roman" w:hAnsi="Georgia" w:cs="Times New Roman"/>
            <w:color w:val="0C7DBB"/>
            <w:sz w:val="24"/>
            <w:szCs w:val="24"/>
            <w:u w:val="single"/>
          </w:rPr>
          <w:t>White et al., 2017</w:t>
        </w:r>
      </w:hyperlink>
      <w:bookmarkEnd w:id="0"/>
      <w:r w:rsidRPr="0067021B">
        <w:rPr>
          <w:rFonts w:ascii="Georgia" w:eastAsia="Times New Roman" w:hAnsi="Georgia" w:cs="Times New Roman"/>
          <w:color w:val="2E2E2E"/>
          <w:sz w:val="24"/>
          <w:szCs w:val="24"/>
        </w:rPr>
        <w:t>). Granulomas greater than 1mm are detected by </w:t>
      </w:r>
      <w:hyperlink r:id="rId10" w:tooltip="Learn more about CT scan from ScienceDirect's AI-generated Topic Pages" w:history="1">
        <w:r w:rsidRPr="0067021B">
          <w:rPr>
            <w:rFonts w:ascii="Georgia" w:eastAsia="Times New Roman" w:hAnsi="Georgia" w:cs="Times New Roman"/>
            <w:color w:val="2E2E2E"/>
            <w:sz w:val="24"/>
            <w:szCs w:val="24"/>
            <w:u w:val="single"/>
          </w:rPr>
          <w:t>CT scan</w:t>
        </w:r>
      </w:hyperlink>
      <w:r w:rsidRPr="0067021B">
        <w:rPr>
          <w:rFonts w:ascii="Georgia" w:eastAsia="Times New Roman" w:hAnsi="Georgia" w:cs="Times New Roman"/>
          <w:color w:val="2E2E2E"/>
          <w:sz w:val="24"/>
          <w:szCs w:val="24"/>
        </w:rPr>
        <w:t>.</w:t>
      </w:r>
    </w:p>
    <w:p w14:paraId="46C8C2F3" w14:textId="0555E2B8" w:rsidR="0067021B" w:rsidRPr="00602018" w:rsidRDefault="0067021B">
      <w:pPr>
        <w:rPr>
          <w:sz w:val="24"/>
          <w:szCs w:val="24"/>
        </w:rPr>
      </w:pPr>
    </w:p>
    <w:p w14:paraId="4AE752FB" w14:textId="5BF63E29" w:rsidR="0067021B" w:rsidRPr="00602018" w:rsidRDefault="0067021B">
      <w:pPr>
        <w:rPr>
          <w:sz w:val="24"/>
          <w:szCs w:val="24"/>
        </w:rPr>
      </w:pPr>
      <w:r w:rsidRPr="00602018">
        <w:rPr>
          <w:sz w:val="24"/>
          <w:szCs w:val="24"/>
        </w:rPr>
        <w:t>Source:</w:t>
      </w:r>
    </w:p>
    <w:p w14:paraId="10BB8749" w14:textId="1237CF5E" w:rsidR="0067021B" w:rsidRPr="00602018" w:rsidRDefault="0067021B">
      <w:pPr>
        <w:rPr>
          <w:sz w:val="24"/>
          <w:szCs w:val="24"/>
        </w:rPr>
      </w:pPr>
      <w:hyperlink r:id="rId11" w:anchor="sec5" w:history="1">
        <w:r w:rsidRPr="00602018">
          <w:rPr>
            <w:rStyle w:val="Hyperlink"/>
            <w:sz w:val="24"/>
            <w:szCs w:val="24"/>
          </w:rPr>
          <w:t>Multimodal profiling of lung granulomas in macaques reveals cellular correlates of tuberculosis control - ScienceDirect</w:t>
        </w:r>
      </w:hyperlink>
    </w:p>
    <w:p w14:paraId="5064945D" w14:textId="77777777" w:rsidR="00F034F9" w:rsidRPr="00602018" w:rsidRDefault="00F034F9">
      <w:pPr>
        <w:rPr>
          <w:sz w:val="24"/>
          <w:szCs w:val="24"/>
        </w:rPr>
      </w:pPr>
    </w:p>
    <w:sectPr w:rsidR="00F034F9" w:rsidRPr="006020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9C0"/>
    <w:rsid w:val="00602018"/>
    <w:rsid w:val="0067021B"/>
    <w:rsid w:val="008919C0"/>
    <w:rsid w:val="00CF5924"/>
    <w:rsid w:val="00DF5BAF"/>
    <w:rsid w:val="00F034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D02E5"/>
  <w15:chartTrackingRefBased/>
  <w15:docId w15:val="{9E52D9AB-F3FE-4167-A194-5745DACA0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67021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7021B"/>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67021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702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1397196">
      <w:bodyDiv w:val="1"/>
      <w:marLeft w:val="0"/>
      <w:marRight w:val="0"/>
      <w:marTop w:val="0"/>
      <w:marBottom w:val="0"/>
      <w:divBdr>
        <w:top w:val="none" w:sz="0" w:space="0" w:color="auto"/>
        <w:left w:val="none" w:sz="0" w:space="0" w:color="auto"/>
        <w:bottom w:val="none" w:sz="0" w:space="0" w:color="auto"/>
        <w:right w:val="none" w:sz="0" w:space="0" w:color="auto"/>
      </w:divBdr>
    </w:div>
    <w:div w:id="1066680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direct.com/science/article/pii/S1074761322001753?via%3Dihub"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sciencedirect.com/science/article/pii/S1074761322001753?via%3Dihub"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ciencedirect.com/topics/medicine-and-dentistry/positron-emission-tomography" TargetMode="External"/><Relationship Id="rId11" Type="http://schemas.openxmlformats.org/officeDocument/2006/relationships/hyperlink" Target="https://www.sciencedirect.com/science/article/pii/S1074761322001753?via%3Dihub" TargetMode="External"/><Relationship Id="rId5" Type="http://schemas.openxmlformats.org/officeDocument/2006/relationships/hyperlink" Target="https://www.sciencedirect.com/topics/medicine-and-dentistry/silo-fillers-disease" TargetMode="External"/><Relationship Id="rId10" Type="http://schemas.openxmlformats.org/officeDocument/2006/relationships/hyperlink" Target="https://www.sciencedirect.com/topics/medicine-and-dentistry/x-ray-computed-tomography" TargetMode="External"/><Relationship Id="rId4" Type="http://schemas.openxmlformats.org/officeDocument/2006/relationships/hyperlink" Target="https://www.sciencedirect.com/topics/medicine-and-dentistry/dicom" TargetMode="External"/><Relationship Id="rId9" Type="http://schemas.openxmlformats.org/officeDocument/2006/relationships/hyperlink" Target="https://www.sciencedirect.com/science/article/pii/S1074761322001753?via%3Dihu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506</Words>
  <Characters>2886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Schissel</dc:creator>
  <cp:keywords/>
  <dc:description/>
  <cp:lastModifiedBy>Jake Schissel</cp:lastModifiedBy>
  <cp:revision>4</cp:revision>
  <dcterms:created xsi:type="dcterms:W3CDTF">2022-08-18T14:46:00Z</dcterms:created>
  <dcterms:modified xsi:type="dcterms:W3CDTF">2022-08-19T17:59:00Z</dcterms:modified>
</cp:coreProperties>
</file>